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3B938" w14:textId="77777777" w:rsidR="00E81FA6" w:rsidRDefault="00000000">
      <w:pPr>
        <w:jc w:val="center"/>
      </w:pPr>
      <w:r>
        <w:rPr>
          <w:noProof/>
        </w:rPr>
        <w:drawing>
          <wp:inline distT="114300" distB="114300" distL="114300" distR="114300" wp14:anchorId="4665AA33" wp14:editId="453F4E9A">
            <wp:extent cx="1877963" cy="7052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77963" cy="705261"/>
                    </a:xfrm>
                    <a:prstGeom prst="rect">
                      <a:avLst/>
                    </a:prstGeom>
                    <a:ln/>
                  </pic:spPr>
                </pic:pic>
              </a:graphicData>
            </a:graphic>
          </wp:inline>
        </w:drawing>
      </w:r>
    </w:p>
    <w:p w14:paraId="13258AF0" w14:textId="77777777" w:rsidR="00E81FA6" w:rsidRDefault="00E81FA6">
      <w:pPr>
        <w:jc w:val="center"/>
      </w:pPr>
    </w:p>
    <w:p w14:paraId="224FDAC0" w14:textId="77777777" w:rsidR="00E81FA6" w:rsidRDefault="00000000">
      <w:pPr>
        <w:jc w:val="center"/>
        <w:rPr>
          <w:b/>
          <w:bCs/>
          <w:color w:val="1F1F1F"/>
          <w:sz w:val="28"/>
          <w:szCs w:val="28"/>
        </w:rPr>
      </w:pPr>
      <w:r>
        <w:rPr>
          <w:b/>
          <w:bCs/>
          <w:color w:val="1F1F1F"/>
          <w:sz w:val="28"/>
          <w:szCs w:val="28"/>
        </w:rPr>
        <w:t>South Carolina Real Estate Written Office Policies</w:t>
      </w:r>
    </w:p>
    <w:p w14:paraId="6C87CF1D" w14:textId="77777777" w:rsidR="00E81FA6" w:rsidRDefault="00000000">
      <w:pPr>
        <w:rPr>
          <w:sz w:val="24"/>
          <w:szCs w:val="24"/>
        </w:rPr>
      </w:pPr>
      <w:r>
        <w:rPr>
          <w:sz w:val="24"/>
          <w:szCs w:val="24"/>
        </w:rPr>
        <w:t xml:space="preserve"> </w:t>
      </w:r>
    </w:p>
    <w:p w14:paraId="312183CC" w14:textId="77777777" w:rsidR="00E81FA6" w:rsidRDefault="00000000">
      <w:r>
        <w:t>South Carolina Real Estate License Law requires every real estate brokerage to have an office policy:</w:t>
      </w:r>
    </w:p>
    <w:p w14:paraId="6DC9F11D" w14:textId="77777777" w:rsidR="00E81FA6" w:rsidRDefault="00000000">
      <w:r>
        <w:t xml:space="preserve"> </w:t>
      </w:r>
    </w:p>
    <w:p w14:paraId="7733D4BA" w14:textId="77777777" w:rsidR="00E81FA6" w:rsidRDefault="00000000">
      <w:pPr>
        <w:ind w:left="720"/>
        <w:rPr>
          <w:i/>
          <w:iCs/>
        </w:rPr>
      </w:pPr>
      <w:hyperlink r:id="rId6">
        <w:r>
          <w:rPr>
            <w:b/>
            <w:bCs/>
            <w:i/>
            <w:iCs/>
            <w:color w:val="1155CC"/>
            <w:u w:val="single"/>
          </w:rPr>
          <w:t>SECTION 40-57-135.</w:t>
        </w:r>
      </w:hyperlink>
      <w:hyperlink r:id="rId7">
        <w:r>
          <w:rPr>
            <w:i/>
            <w:iCs/>
            <w:color w:val="1155CC"/>
            <w:u w:val="single"/>
          </w:rPr>
          <w:t xml:space="preserve"> </w:t>
        </w:r>
      </w:hyperlink>
      <w:r>
        <w:rPr>
          <w:i/>
          <w:iCs/>
        </w:rPr>
        <w:t>(A) A broker-in-charge or property manager-in-charge shall: (5) establish and maintain a written office policy in accordance with Sections 40-57-135(I)(2)(a) and 40-57-360 and any requirements promulgated in regulations and make that policy readily accessible to supervised licensees…</w:t>
      </w:r>
    </w:p>
    <w:p w14:paraId="1A74D2B1" w14:textId="77777777" w:rsidR="00E81FA6" w:rsidRDefault="00000000">
      <w:r>
        <w:t xml:space="preserve"> </w:t>
      </w:r>
    </w:p>
    <w:p w14:paraId="0EC3922B" w14:textId="77777777" w:rsidR="00E81FA6" w:rsidRDefault="00000000">
      <w:pPr>
        <w:rPr>
          <w:color w:val="1F1F1F"/>
        </w:rPr>
      </w:pPr>
      <w:r>
        <w:rPr>
          <w:color w:val="1F1F1F"/>
        </w:rPr>
        <w:t xml:space="preserve">Running a compliant and successful real estate brokerage in South Carolina requires more than just holding an active license; it requires clear, documented guidelines. Under South Carolina law, every real estate company must operate under the guidance of a Broker-in-Charge (BIC) or Property Manager-in-Charge (PMIC), and one of their primary statutory duties is establishing and maintaining a </w:t>
      </w:r>
      <w:r>
        <w:rPr>
          <w:b/>
          <w:bCs/>
          <w:color w:val="1F1F1F"/>
        </w:rPr>
        <w:t>written office policy</w:t>
      </w:r>
      <w:r>
        <w:rPr>
          <w:color w:val="1F1F1F"/>
        </w:rPr>
        <w:t>.</w:t>
      </w:r>
    </w:p>
    <w:p w14:paraId="7FCB2221" w14:textId="77777777" w:rsidR="00E81FA6" w:rsidRDefault="00000000">
      <w:pPr>
        <w:rPr>
          <w:color w:val="1F1F1F"/>
        </w:rPr>
      </w:pPr>
      <w:r>
        <w:rPr>
          <w:color w:val="1F1F1F"/>
        </w:rPr>
        <w:t xml:space="preserve"> </w:t>
      </w:r>
    </w:p>
    <w:p w14:paraId="2EE95A21" w14:textId="77777777" w:rsidR="00E81FA6" w:rsidRDefault="00000000">
      <w:pPr>
        <w:pStyle w:val="Heading4"/>
        <w:keepNext w:val="0"/>
        <w:keepLines w:val="0"/>
        <w:spacing w:before="0" w:after="120"/>
        <w:rPr>
          <w:b/>
          <w:bCs/>
          <w:color w:val="1F1F1F"/>
          <w:sz w:val="22"/>
          <w:szCs w:val="22"/>
        </w:rPr>
      </w:pPr>
      <w:bookmarkStart w:id="0" w:name="_i31gc9zb9v5z" w:colFirst="0" w:colLast="0"/>
      <w:bookmarkEnd w:id="0"/>
      <w:r>
        <w:rPr>
          <w:b/>
          <w:bCs/>
          <w:color w:val="1F1F1F"/>
          <w:sz w:val="22"/>
          <w:szCs w:val="22"/>
        </w:rPr>
        <w:t>Why Does a Brokerage Need a Written Office Policy?</w:t>
      </w:r>
    </w:p>
    <w:p w14:paraId="6FA228D5" w14:textId="77777777" w:rsidR="00582E61" w:rsidRDefault="00000000" w:rsidP="00582E61">
      <w:pPr>
        <w:pStyle w:val="ListParagraph"/>
        <w:numPr>
          <w:ilvl w:val="0"/>
          <w:numId w:val="11"/>
        </w:numPr>
        <w:rPr>
          <w:color w:val="1F1F1F"/>
        </w:rPr>
      </w:pPr>
      <w:r w:rsidRPr="00582E61">
        <w:rPr>
          <w:b/>
          <w:bCs/>
          <w:color w:val="1F1F1F"/>
        </w:rPr>
        <w:t>It is a Strict Legal Requirement:</w:t>
      </w:r>
      <w:r w:rsidRPr="00582E61">
        <w:rPr>
          <w:color w:val="1F1F1F"/>
        </w:rPr>
        <w:t xml:space="preserve"> Under SC Code § 40-57-135, the Broker-in-Charge is legally mandated to adequately supervise all associated licensees to ensure compliance with state real estate laws. To achieve this, the law dictates that the BIC </w:t>
      </w:r>
      <w:r w:rsidRPr="00582E61">
        <w:rPr>
          <w:i/>
          <w:iCs/>
          <w:color w:val="1F1F1F"/>
        </w:rPr>
        <w:t>must</w:t>
      </w:r>
      <w:r w:rsidRPr="00582E61">
        <w:rPr>
          <w:color w:val="1F1F1F"/>
        </w:rPr>
        <w:t xml:space="preserve"> establish a written office policy and make it readily accessible to all associated licensees. Failure to have this document violates the state’s licensing law.</w:t>
      </w:r>
    </w:p>
    <w:p w14:paraId="31950493" w14:textId="77777777" w:rsidR="00582E61" w:rsidRDefault="00000000" w:rsidP="00582E61">
      <w:pPr>
        <w:pStyle w:val="ListParagraph"/>
        <w:numPr>
          <w:ilvl w:val="0"/>
          <w:numId w:val="11"/>
        </w:numPr>
        <w:rPr>
          <w:color w:val="1F1F1F"/>
        </w:rPr>
      </w:pPr>
      <w:r w:rsidRPr="00582E61">
        <w:rPr>
          <w:b/>
          <w:bCs/>
          <w:color w:val="1F1F1F"/>
        </w:rPr>
        <w:t>Risk Management and Liability Protection</w:t>
      </w:r>
      <w:r w:rsidRPr="00582E61">
        <w:rPr>
          <w:color w:val="1F1F1F"/>
        </w:rPr>
        <w:t>: A brokerage can be held liable for the actions of its agents. A comprehensive office policy sets the boundaries of what agents can and cannot do, significantly reducing the firm's exposure to lawsuits, ethical violations, and disciplinary actions from the South Carolina Real Estate Commission.</w:t>
      </w:r>
    </w:p>
    <w:p w14:paraId="705DB029" w14:textId="436C6CC1" w:rsidR="00E81FA6" w:rsidRPr="00582E61" w:rsidRDefault="00000000" w:rsidP="00582E61">
      <w:pPr>
        <w:pStyle w:val="ListParagraph"/>
        <w:numPr>
          <w:ilvl w:val="0"/>
          <w:numId w:val="11"/>
        </w:numPr>
        <w:rPr>
          <w:color w:val="1F1F1F"/>
        </w:rPr>
      </w:pPr>
      <w:r w:rsidRPr="00582E61">
        <w:rPr>
          <w:b/>
          <w:bCs/>
          <w:color w:val="1F1F1F"/>
        </w:rPr>
        <w:t>Clarity on Agency Relationships</w:t>
      </w:r>
      <w:r w:rsidRPr="00582E61">
        <w:rPr>
          <w:color w:val="1F1F1F"/>
        </w:rPr>
        <w:t>: South Carolina law is highly specific regarding how consumers are represented in real estate transactions. The office policy acts as the company's official stance on which types of representation the brokerage will offer to the public, preventing rogue agents from promising services the brokerage does not authorize.</w:t>
      </w:r>
    </w:p>
    <w:p w14:paraId="553C0489" w14:textId="77777777" w:rsidR="00E81FA6" w:rsidRDefault="00000000">
      <w:pPr>
        <w:rPr>
          <w:color w:val="1F1F1F"/>
        </w:rPr>
      </w:pPr>
      <w:r>
        <w:rPr>
          <w:color w:val="1F1F1F"/>
        </w:rPr>
        <w:t xml:space="preserve"> </w:t>
      </w:r>
    </w:p>
    <w:p w14:paraId="7A86EE55" w14:textId="77777777" w:rsidR="00E81FA6" w:rsidRDefault="00000000">
      <w:pPr>
        <w:pStyle w:val="Heading4"/>
        <w:keepNext w:val="0"/>
        <w:keepLines w:val="0"/>
        <w:spacing w:before="0" w:after="120"/>
        <w:rPr>
          <w:b/>
          <w:bCs/>
          <w:color w:val="1F1F1F"/>
          <w:sz w:val="22"/>
          <w:szCs w:val="22"/>
        </w:rPr>
      </w:pPr>
      <w:bookmarkStart w:id="1" w:name="_fw9oiwgqqof" w:colFirst="0" w:colLast="0"/>
      <w:bookmarkEnd w:id="1"/>
      <w:r>
        <w:rPr>
          <w:b/>
          <w:bCs/>
          <w:color w:val="1F1F1F"/>
          <w:sz w:val="22"/>
          <w:szCs w:val="22"/>
        </w:rPr>
        <w:t>What Must the Written Office Policy Contain?</w:t>
      </w:r>
    </w:p>
    <w:p w14:paraId="257228AB" w14:textId="77777777" w:rsidR="00E81FA6" w:rsidRDefault="00000000">
      <w:pPr>
        <w:pStyle w:val="Heading4"/>
        <w:keepNext w:val="0"/>
        <w:keepLines w:val="0"/>
        <w:spacing w:before="0" w:after="120"/>
        <w:rPr>
          <w:color w:val="1F1F1F"/>
          <w:sz w:val="22"/>
          <w:szCs w:val="22"/>
        </w:rPr>
      </w:pPr>
      <w:bookmarkStart w:id="2" w:name="_ab7k66mj5nn" w:colFirst="0" w:colLast="0"/>
      <w:bookmarkEnd w:id="2"/>
      <w:r>
        <w:rPr>
          <w:color w:val="1F1F1F"/>
          <w:sz w:val="22"/>
          <w:szCs w:val="22"/>
        </w:rPr>
        <w:t>Pursuant to SC Code § 40-57-510 and § 40-57-360 (which governs teams), the primary focus of the mandated written office policy revolves around agency relationships and brokerage operations. To be compliant, the policy must clearly outline the following:</w:t>
      </w:r>
    </w:p>
    <w:p w14:paraId="278EF047" w14:textId="77777777" w:rsidR="00E81FA6" w:rsidRDefault="00000000">
      <w:pPr>
        <w:pStyle w:val="Heading4"/>
        <w:keepNext w:val="0"/>
        <w:keepLines w:val="0"/>
        <w:numPr>
          <w:ilvl w:val="0"/>
          <w:numId w:val="9"/>
        </w:numPr>
        <w:spacing w:before="0" w:after="0"/>
        <w:rPr>
          <w:color w:val="1F1F1F"/>
          <w:sz w:val="22"/>
          <w:szCs w:val="22"/>
        </w:rPr>
      </w:pPr>
      <w:bookmarkStart w:id="3" w:name="_38v2sk58j7xp" w:colFirst="0" w:colLast="0"/>
      <w:bookmarkEnd w:id="3"/>
      <w:r>
        <w:rPr>
          <w:b/>
          <w:bCs/>
          <w:color w:val="1F1F1F"/>
          <w:sz w:val="22"/>
          <w:szCs w:val="22"/>
        </w:rPr>
        <w:t>Permitted Brokerage Relationships:</w:t>
      </w:r>
      <w:r>
        <w:rPr>
          <w:color w:val="1F1F1F"/>
          <w:sz w:val="22"/>
          <w:szCs w:val="22"/>
        </w:rPr>
        <w:t xml:space="preserve"> The policy must explicitly identify which types of agency relationships the brokerage allows its agents to practice. This includes stating </w:t>
      </w:r>
      <w:r>
        <w:rPr>
          <w:color w:val="1F1F1F"/>
          <w:sz w:val="22"/>
          <w:szCs w:val="22"/>
        </w:rPr>
        <w:lastRenderedPageBreak/>
        <w:t>whether the firm practices seller agency, buyer agency, disclosed dual agency, designated agency, and/or transaction brokerage.</w:t>
      </w:r>
    </w:p>
    <w:p w14:paraId="31A4AA90" w14:textId="77777777" w:rsidR="00E81FA6" w:rsidRDefault="00000000">
      <w:pPr>
        <w:pStyle w:val="Heading4"/>
        <w:keepNext w:val="0"/>
        <w:keepLines w:val="0"/>
        <w:numPr>
          <w:ilvl w:val="0"/>
          <w:numId w:val="9"/>
        </w:numPr>
        <w:spacing w:before="0" w:after="0"/>
        <w:rPr>
          <w:color w:val="1F1F1F"/>
          <w:sz w:val="22"/>
          <w:szCs w:val="22"/>
        </w:rPr>
      </w:pPr>
      <w:bookmarkStart w:id="4" w:name="_antv7otfycgs" w:colFirst="0" w:colLast="0"/>
      <w:bookmarkEnd w:id="4"/>
      <w:r>
        <w:rPr>
          <w:b/>
          <w:bCs/>
          <w:color w:val="1F1F1F"/>
          <w:sz w:val="22"/>
          <w:szCs w:val="22"/>
        </w:rPr>
        <w:t>Creation of Relationships:</w:t>
      </w:r>
      <w:r>
        <w:rPr>
          <w:color w:val="1F1F1F"/>
          <w:sz w:val="22"/>
          <w:szCs w:val="22"/>
        </w:rPr>
        <w:t xml:space="preserve"> It must explain exactly </w:t>
      </w:r>
      <w:r>
        <w:rPr>
          <w:i/>
          <w:iCs/>
          <w:color w:val="1F1F1F"/>
          <w:sz w:val="22"/>
          <w:szCs w:val="22"/>
        </w:rPr>
        <w:t>when</w:t>
      </w:r>
      <w:r>
        <w:rPr>
          <w:color w:val="1F1F1F"/>
          <w:sz w:val="22"/>
          <w:szCs w:val="22"/>
        </w:rPr>
        <w:t xml:space="preserve"> and </w:t>
      </w:r>
      <w:r>
        <w:rPr>
          <w:i/>
          <w:iCs/>
          <w:color w:val="1F1F1F"/>
          <w:sz w:val="22"/>
          <w:szCs w:val="22"/>
        </w:rPr>
        <w:t>how</w:t>
      </w:r>
      <w:r>
        <w:rPr>
          <w:color w:val="1F1F1F"/>
          <w:sz w:val="22"/>
          <w:szCs w:val="22"/>
        </w:rPr>
        <w:t xml:space="preserve"> a licensee-client or licensee-customer relationship is officially created within the brokerage.</w:t>
      </w:r>
    </w:p>
    <w:p w14:paraId="153016D4" w14:textId="77777777" w:rsidR="00E81FA6" w:rsidRDefault="00000000">
      <w:pPr>
        <w:pStyle w:val="Heading4"/>
        <w:keepNext w:val="0"/>
        <w:keepLines w:val="0"/>
        <w:numPr>
          <w:ilvl w:val="0"/>
          <w:numId w:val="9"/>
        </w:numPr>
        <w:spacing w:before="0" w:after="0"/>
        <w:rPr>
          <w:color w:val="1F1F1F"/>
          <w:sz w:val="22"/>
          <w:szCs w:val="22"/>
        </w:rPr>
      </w:pPr>
      <w:bookmarkStart w:id="5" w:name="_idumcsw7geiz" w:colFirst="0" w:colLast="0"/>
      <w:bookmarkEnd w:id="5"/>
      <w:r>
        <w:rPr>
          <w:b/>
          <w:bCs/>
          <w:color w:val="1F1F1F"/>
          <w:sz w:val="22"/>
          <w:szCs w:val="22"/>
        </w:rPr>
        <w:t>Real Estate Teams:</w:t>
      </w:r>
      <w:r>
        <w:rPr>
          <w:color w:val="1F1F1F"/>
          <w:sz w:val="22"/>
          <w:szCs w:val="22"/>
        </w:rPr>
        <w:t xml:space="preserve"> The policy must state whether the brokerage allows associated licensees to form and operate as real estate teams. If permitted, the policy must outline team compliance protocols, including:</w:t>
      </w:r>
    </w:p>
    <w:p w14:paraId="70E8858D" w14:textId="77777777" w:rsidR="00E81FA6" w:rsidRDefault="00000000">
      <w:pPr>
        <w:pStyle w:val="Heading4"/>
        <w:keepNext w:val="0"/>
        <w:keepLines w:val="0"/>
        <w:numPr>
          <w:ilvl w:val="0"/>
          <w:numId w:val="9"/>
        </w:numPr>
        <w:spacing w:before="0" w:after="0"/>
        <w:rPr>
          <w:color w:val="1F1F1F"/>
          <w:sz w:val="22"/>
          <w:szCs w:val="22"/>
        </w:rPr>
      </w:pPr>
      <w:bookmarkStart w:id="6" w:name="_qohsqw732qna" w:colFirst="0" w:colLast="0"/>
      <w:bookmarkEnd w:id="6"/>
      <w:r>
        <w:rPr>
          <w:b/>
          <w:bCs/>
          <w:color w:val="1F1F1F"/>
          <w:sz w:val="22"/>
          <w:szCs w:val="22"/>
        </w:rPr>
        <w:t>Supervision:</w:t>
      </w:r>
      <w:r>
        <w:rPr>
          <w:color w:val="1F1F1F"/>
          <w:sz w:val="22"/>
          <w:szCs w:val="22"/>
        </w:rPr>
        <w:t xml:space="preserve"> Confirming the BIC retains sole supervisory responsibility over all team members (this duty cannot be delegated to a "team leader").</w:t>
      </w:r>
    </w:p>
    <w:p w14:paraId="23585774" w14:textId="77777777" w:rsidR="00E81FA6" w:rsidRDefault="00000000">
      <w:pPr>
        <w:pStyle w:val="Heading4"/>
        <w:keepNext w:val="0"/>
        <w:keepLines w:val="0"/>
        <w:numPr>
          <w:ilvl w:val="0"/>
          <w:numId w:val="9"/>
        </w:numPr>
        <w:spacing w:before="0" w:after="0"/>
        <w:rPr>
          <w:color w:val="1F1F1F"/>
          <w:sz w:val="22"/>
          <w:szCs w:val="22"/>
        </w:rPr>
      </w:pPr>
      <w:bookmarkStart w:id="7" w:name="_spd5z09vw9si" w:colFirst="0" w:colLast="0"/>
      <w:bookmarkEnd w:id="7"/>
      <w:r>
        <w:rPr>
          <w:b/>
          <w:bCs/>
          <w:color w:val="1F1F1F"/>
          <w:sz w:val="22"/>
          <w:szCs w:val="22"/>
        </w:rPr>
        <w:t>Advertising:</w:t>
      </w:r>
      <w:r>
        <w:rPr>
          <w:color w:val="1F1F1F"/>
          <w:sz w:val="22"/>
          <w:szCs w:val="22"/>
        </w:rPr>
        <w:t xml:space="preserve"> Mandating that all team marketing clearly identifies the brokerage, never implies the team is an independent entity, and adheres to strict size/prominence rules regarding the brokerage's name.</w:t>
      </w:r>
    </w:p>
    <w:p w14:paraId="0F1FBFE8" w14:textId="77777777" w:rsidR="00E81FA6" w:rsidRDefault="00000000">
      <w:pPr>
        <w:pStyle w:val="Heading4"/>
        <w:keepNext w:val="0"/>
        <w:keepLines w:val="0"/>
        <w:numPr>
          <w:ilvl w:val="0"/>
          <w:numId w:val="9"/>
        </w:numPr>
        <w:spacing w:before="0" w:after="0"/>
        <w:rPr>
          <w:color w:val="1F1F1F"/>
          <w:sz w:val="22"/>
          <w:szCs w:val="22"/>
        </w:rPr>
      </w:pPr>
      <w:bookmarkStart w:id="8" w:name="_8l57f7vfgu0b" w:colFirst="0" w:colLast="0"/>
      <w:bookmarkEnd w:id="8"/>
      <w:r>
        <w:rPr>
          <w:b/>
          <w:bCs/>
          <w:color w:val="1F1F1F"/>
          <w:sz w:val="22"/>
          <w:szCs w:val="22"/>
        </w:rPr>
        <w:t>Agency:</w:t>
      </w:r>
      <w:r>
        <w:rPr>
          <w:color w:val="1F1F1F"/>
          <w:sz w:val="22"/>
          <w:szCs w:val="22"/>
        </w:rPr>
        <w:t xml:space="preserve"> Dictating how teams must handle agency, particularly if the team engages in dual agency (where the team represents both buyer and seller).</w:t>
      </w:r>
    </w:p>
    <w:p w14:paraId="5011D4B0" w14:textId="77777777" w:rsidR="00E81FA6" w:rsidRDefault="00000000">
      <w:pPr>
        <w:pStyle w:val="Heading4"/>
        <w:keepNext w:val="0"/>
        <w:keepLines w:val="0"/>
        <w:numPr>
          <w:ilvl w:val="0"/>
          <w:numId w:val="9"/>
        </w:numPr>
        <w:spacing w:before="0" w:after="0"/>
        <w:rPr>
          <w:color w:val="1F1F1F"/>
          <w:sz w:val="22"/>
          <w:szCs w:val="22"/>
        </w:rPr>
      </w:pPr>
      <w:bookmarkStart w:id="9" w:name="_v3z36mxiowc8" w:colFirst="0" w:colLast="0"/>
      <w:bookmarkEnd w:id="9"/>
      <w:r>
        <w:rPr>
          <w:b/>
          <w:bCs/>
          <w:color w:val="1F1F1F"/>
          <w:sz w:val="22"/>
          <w:szCs w:val="22"/>
        </w:rPr>
        <w:t>Scope of Services:</w:t>
      </w:r>
      <w:r>
        <w:rPr>
          <w:color w:val="1F1F1F"/>
          <w:sz w:val="22"/>
          <w:szCs w:val="22"/>
        </w:rPr>
        <w:t xml:space="preserve"> The document must clearly differentiate and outline the scope of services the company will provide to </w:t>
      </w:r>
      <w:r>
        <w:rPr>
          <w:b/>
          <w:bCs/>
          <w:color w:val="1F1F1F"/>
          <w:sz w:val="22"/>
          <w:szCs w:val="22"/>
        </w:rPr>
        <w:t>clients</w:t>
      </w:r>
      <w:r>
        <w:rPr>
          <w:color w:val="1F1F1F"/>
          <w:sz w:val="22"/>
          <w:szCs w:val="22"/>
        </w:rPr>
        <w:t xml:space="preserve"> (who receive fiduciary duties) versus </w:t>
      </w:r>
      <w:r>
        <w:rPr>
          <w:b/>
          <w:bCs/>
          <w:color w:val="1F1F1F"/>
          <w:sz w:val="22"/>
          <w:szCs w:val="22"/>
        </w:rPr>
        <w:t>customers</w:t>
      </w:r>
      <w:r>
        <w:rPr>
          <w:color w:val="1F1F1F"/>
          <w:sz w:val="22"/>
          <w:szCs w:val="22"/>
        </w:rPr>
        <w:t xml:space="preserve"> (who receive fairness and honesty but no fiduciary representation).</w:t>
      </w:r>
    </w:p>
    <w:p w14:paraId="5719409F" w14:textId="77777777" w:rsidR="00E81FA6" w:rsidRDefault="00000000">
      <w:pPr>
        <w:pStyle w:val="Heading4"/>
        <w:keepNext w:val="0"/>
        <w:keepLines w:val="0"/>
        <w:numPr>
          <w:ilvl w:val="0"/>
          <w:numId w:val="9"/>
        </w:numPr>
        <w:spacing w:before="0" w:after="0"/>
        <w:rPr>
          <w:color w:val="1F1F1F"/>
          <w:sz w:val="22"/>
          <w:szCs w:val="22"/>
        </w:rPr>
      </w:pPr>
      <w:bookmarkStart w:id="10" w:name="_cya15y8lhx3m" w:colFirst="0" w:colLast="0"/>
      <w:bookmarkEnd w:id="10"/>
      <w:r>
        <w:rPr>
          <w:b/>
          <w:bCs/>
          <w:color w:val="1F1F1F"/>
          <w:sz w:val="22"/>
          <w:szCs w:val="22"/>
        </w:rPr>
        <w:t>Agency Disclosure Procedures:</w:t>
      </w:r>
      <w:r>
        <w:rPr>
          <w:color w:val="1F1F1F"/>
          <w:sz w:val="22"/>
          <w:szCs w:val="22"/>
        </w:rPr>
        <w:t xml:space="preserve"> The policy must explain the company’s internal procedures for presenting the mandatory </w:t>
      </w:r>
      <w:r>
        <w:rPr>
          <w:i/>
          <w:iCs/>
          <w:color w:val="1F1F1F"/>
          <w:sz w:val="22"/>
          <w:szCs w:val="22"/>
        </w:rPr>
        <w:t>South Carolina Disclosure of Real Estate Brokerage Relationships</w:t>
      </w:r>
      <w:r>
        <w:rPr>
          <w:color w:val="1F1F1F"/>
          <w:sz w:val="22"/>
          <w:szCs w:val="22"/>
        </w:rPr>
        <w:t xml:space="preserve"> form to consumers at the first practical opportunity.</w:t>
      </w:r>
    </w:p>
    <w:p w14:paraId="7ED1080C" w14:textId="77777777" w:rsidR="00E81FA6" w:rsidRDefault="00000000">
      <w:pPr>
        <w:pStyle w:val="Heading4"/>
        <w:keepNext w:val="0"/>
        <w:keepLines w:val="0"/>
        <w:numPr>
          <w:ilvl w:val="0"/>
          <w:numId w:val="9"/>
        </w:numPr>
        <w:spacing w:before="0" w:after="0"/>
        <w:rPr>
          <w:color w:val="1F1F1F"/>
          <w:sz w:val="22"/>
          <w:szCs w:val="22"/>
        </w:rPr>
      </w:pPr>
      <w:bookmarkStart w:id="11" w:name="_tjg729adprn4" w:colFirst="0" w:colLast="0"/>
      <w:bookmarkEnd w:id="11"/>
      <w:r>
        <w:rPr>
          <w:b/>
          <w:bCs/>
          <w:color w:val="1F1F1F"/>
          <w:sz w:val="22"/>
          <w:szCs w:val="22"/>
        </w:rPr>
        <w:t>Handling Confidentiality:</w:t>
      </w:r>
      <w:r>
        <w:rPr>
          <w:color w:val="1F1F1F"/>
          <w:sz w:val="22"/>
          <w:szCs w:val="22"/>
        </w:rPr>
        <w:t xml:space="preserve"> It must include a strict policy on how agents are to protect confidential client and customer information, which is especially critical if the firm practices dual or designated agency.</w:t>
      </w:r>
    </w:p>
    <w:p w14:paraId="342EB0F7" w14:textId="77777777" w:rsidR="00E81FA6" w:rsidRDefault="00000000">
      <w:pPr>
        <w:pStyle w:val="Heading4"/>
        <w:keepNext w:val="0"/>
        <w:keepLines w:val="0"/>
        <w:numPr>
          <w:ilvl w:val="0"/>
          <w:numId w:val="9"/>
        </w:numPr>
        <w:spacing w:before="0" w:after="0"/>
        <w:rPr>
          <w:color w:val="1F1F1F"/>
          <w:sz w:val="22"/>
          <w:szCs w:val="22"/>
        </w:rPr>
      </w:pPr>
      <w:bookmarkStart w:id="12" w:name="_81e9vpu7re16" w:colFirst="0" w:colLast="0"/>
      <w:bookmarkEnd w:id="12"/>
      <w:r>
        <w:rPr>
          <w:b/>
          <w:bCs/>
          <w:color w:val="1F1F1F"/>
          <w:sz w:val="22"/>
          <w:szCs w:val="22"/>
        </w:rPr>
        <w:t>Cooperation and Compensation:</w:t>
      </w:r>
      <w:r>
        <w:rPr>
          <w:color w:val="1F1F1F"/>
          <w:sz w:val="22"/>
          <w:szCs w:val="22"/>
        </w:rPr>
        <w:t xml:space="preserve"> The policy must state the broker-in-charge’s rules regarding cooperation with outside subagents, buyer agents, and transaction brokers, and clearly outline whether (and how) the broker offers compensation to these cooperating licensees.</w:t>
      </w:r>
    </w:p>
    <w:p w14:paraId="7E47D043" w14:textId="77777777" w:rsidR="00E81FA6" w:rsidRDefault="00000000">
      <w:pPr>
        <w:pStyle w:val="Heading4"/>
        <w:keepNext w:val="0"/>
        <w:keepLines w:val="0"/>
        <w:numPr>
          <w:ilvl w:val="0"/>
          <w:numId w:val="9"/>
        </w:numPr>
        <w:spacing w:before="0" w:after="120"/>
        <w:rPr>
          <w:color w:val="1F1F1F"/>
          <w:sz w:val="22"/>
          <w:szCs w:val="22"/>
        </w:rPr>
      </w:pPr>
      <w:bookmarkStart w:id="13" w:name="_oh1rpuxu8ind" w:colFirst="0" w:colLast="0"/>
      <w:bookmarkEnd w:id="13"/>
      <w:r>
        <w:rPr>
          <w:b/>
          <w:bCs/>
          <w:color w:val="1F1F1F"/>
          <w:sz w:val="22"/>
          <w:szCs w:val="22"/>
        </w:rPr>
        <w:t>Compliance with Fair Housing:</w:t>
      </w:r>
      <w:r>
        <w:rPr>
          <w:color w:val="1F1F1F"/>
          <w:sz w:val="22"/>
          <w:szCs w:val="22"/>
        </w:rPr>
        <w:t xml:space="preserve"> While agency is the focus of the statute, a legally sound office policy must also mandate strict compliance with state and federal Fair Housing laws to ensure all clients and customers are treated equally.</w:t>
      </w:r>
    </w:p>
    <w:p w14:paraId="240DA70F" w14:textId="77777777" w:rsidR="00E81FA6" w:rsidRDefault="00000000">
      <w:pPr>
        <w:rPr>
          <w:color w:val="1F1F1F"/>
        </w:rPr>
      </w:pPr>
      <w:r>
        <w:rPr>
          <w:color w:val="1F1F1F"/>
        </w:rPr>
        <w:t xml:space="preserve"> </w:t>
      </w:r>
    </w:p>
    <w:p w14:paraId="3ACEA292" w14:textId="77777777" w:rsidR="00E81FA6" w:rsidRDefault="00000000">
      <w:pPr>
        <w:pStyle w:val="Heading4"/>
        <w:keepNext w:val="0"/>
        <w:keepLines w:val="0"/>
        <w:spacing w:before="0" w:after="120"/>
        <w:rPr>
          <w:b/>
          <w:bCs/>
          <w:color w:val="1F1F1F"/>
          <w:sz w:val="22"/>
          <w:szCs w:val="22"/>
        </w:rPr>
      </w:pPr>
      <w:bookmarkStart w:id="14" w:name="_pew5m8jr0a5p" w:colFirst="0" w:colLast="0"/>
      <w:bookmarkEnd w:id="14"/>
      <w:r>
        <w:rPr>
          <w:b/>
          <w:bCs/>
          <w:color w:val="1F1F1F"/>
          <w:sz w:val="22"/>
          <w:szCs w:val="22"/>
        </w:rPr>
        <w:t>Summary</w:t>
      </w:r>
    </w:p>
    <w:p w14:paraId="243F96C1" w14:textId="77777777" w:rsidR="00E81FA6" w:rsidRDefault="00000000">
      <w:pPr>
        <w:spacing w:after="160"/>
        <w:rPr>
          <w:color w:val="1F1F1F"/>
        </w:rPr>
      </w:pPr>
      <w:r>
        <w:rPr>
          <w:color w:val="1F1F1F"/>
        </w:rPr>
        <w:t>A written office policy is not just an administrative formality; it is the legal backbone of a South Carolina real estate brokerage. By clearly documenting the firm's approved practices—including how it governs the complex dynamics of real estate teams—the Broker-in-Charge protects the public, the agents, and the brokerage itself.</w:t>
      </w:r>
    </w:p>
    <w:p w14:paraId="36872A2E" w14:textId="77777777" w:rsidR="00E81FA6" w:rsidRDefault="00A87629">
      <w:pPr>
        <w:spacing w:after="120"/>
        <w:jc w:val="center"/>
        <w:rPr>
          <w:b/>
          <w:bCs/>
          <w:color w:val="1F1F1F"/>
        </w:rPr>
      </w:pPr>
      <w:r>
        <w:rPr>
          <w:noProof/>
        </w:rPr>
        <w:pict w14:anchorId="0D96FEB4">
          <v:rect id="_x0000_i1026" alt="" style="width:468pt;height:.05pt;mso-width-percent:0;mso-height-percent:0;mso-width-percent:0;mso-height-percent:0" o:hralign="center" o:hrstd="t" o:hr="t" fillcolor="#a0a0a0" stroked="f"/>
        </w:pict>
      </w:r>
    </w:p>
    <w:p w14:paraId="7A69E5CC" w14:textId="77777777" w:rsidR="00E81FA6" w:rsidRDefault="00000000">
      <w:r>
        <w:rPr>
          <w:b/>
          <w:bCs/>
          <w:i/>
          <w:iCs/>
          <w:color w:val="1F1F1F"/>
        </w:rPr>
        <w:t>(DISCLAIMER: BICS SHOULD CONSULT WITH A QUALIFIED REAL ESTATE ATTORNEY WHEN DRAFTING OR UPDATING THEIR SPECIFIC OFFICE POLICIES TO ENSURE FULL LEGAL COMPLIANCE.)</w:t>
      </w:r>
      <w:r>
        <w:rPr>
          <w:b/>
          <w:bCs/>
          <w:i/>
          <w:iCs/>
          <w:color w:val="1F1F1F"/>
        </w:rPr>
        <w:tab/>
      </w:r>
      <w:r>
        <w:rPr>
          <w:b/>
          <w:bCs/>
          <w:i/>
          <w:iCs/>
          <w:color w:val="1F1F1F"/>
        </w:rPr>
        <w:tab/>
      </w:r>
      <w:r>
        <w:rPr>
          <w:b/>
          <w:bCs/>
          <w:i/>
          <w:iCs/>
          <w:color w:val="1F1F1F"/>
        </w:rPr>
        <w:tab/>
      </w:r>
      <w:r>
        <w:rPr>
          <w:b/>
          <w:bCs/>
          <w:i/>
          <w:iCs/>
          <w:color w:val="1F1F1F"/>
        </w:rPr>
        <w:tab/>
      </w:r>
      <w:r>
        <w:rPr>
          <w:b/>
          <w:bCs/>
          <w:i/>
          <w:iCs/>
          <w:color w:val="1F1F1F"/>
        </w:rPr>
        <w:tab/>
      </w:r>
      <w:r>
        <w:rPr>
          <w:b/>
          <w:bCs/>
          <w:i/>
          <w:iCs/>
          <w:color w:val="1F1F1F"/>
        </w:rPr>
        <w:tab/>
      </w:r>
      <w:r>
        <w:rPr>
          <w:b/>
          <w:bCs/>
          <w:i/>
          <w:iCs/>
          <w:color w:val="1F1F1F"/>
        </w:rPr>
        <w:tab/>
      </w:r>
      <w:r>
        <w:rPr>
          <w:b/>
          <w:bCs/>
          <w:i/>
          <w:iCs/>
          <w:color w:val="1F1F1F"/>
        </w:rPr>
        <w:tab/>
      </w:r>
      <w:r>
        <w:t xml:space="preserve"> April 2026</w:t>
      </w:r>
    </w:p>
    <w:p w14:paraId="12F0B3A1" w14:textId="77777777" w:rsidR="00582E61" w:rsidRDefault="00582E61">
      <w:pPr>
        <w:spacing w:after="160"/>
        <w:rPr>
          <w:color w:val="1F1F1F"/>
        </w:rPr>
      </w:pPr>
    </w:p>
    <w:p w14:paraId="4BA1C110" w14:textId="3CDD5AC9" w:rsidR="00E81FA6" w:rsidRPr="00582E61" w:rsidRDefault="00000000">
      <w:pPr>
        <w:spacing w:after="160"/>
        <w:rPr>
          <w:color w:val="1F1F1F"/>
          <w:sz w:val="24"/>
          <w:szCs w:val="24"/>
        </w:rPr>
      </w:pPr>
      <w:r w:rsidRPr="00582E61">
        <w:rPr>
          <w:color w:val="1F1F1F"/>
          <w:sz w:val="24"/>
          <w:szCs w:val="24"/>
        </w:rPr>
        <w:lastRenderedPageBreak/>
        <w:t>Here is a sample template for a South Carolina real estate written office policy. This template is designed to directly address the requirements set forth in SC Code § 40-57-510.</w:t>
      </w:r>
    </w:p>
    <w:p w14:paraId="177869B1" w14:textId="77777777" w:rsidR="00E81FA6" w:rsidRPr="00582E61" w:rsidRDefault="00000000">
      <w:pPr>
        <w:rPr>
          <w:color w:val="1F1F1F"/>
          <w:sz w:val="24"/>
          <w:szCs w:val="24"/>
        </w:rPr>
      </w:pPr>
      <w:r w:rsidRPr="00582E61">
        <w:rPr>
          <w:color w:val="1F1F1F"/>
          <w:sz w:val="24"/>
          <w:szCs w:val="24"/>
        </w:rPr>
        <w:t xml:space="preserve">Because brokerages operate differently, this template includes bracketed text </w:t>
      </w:r>
      <w:r w:rsidRPr="00582E61">
        <w:rPr>
          <w:b/>
          <w:bCs/>
          <w:color w:val="1F1F1F"/>
          <w:sz w:val="24"/>
          <w:szCs w:val="24"/>
        </w:rPr>
        <w:t>[like this]</w:t>
      </w:r>
      <w:r w:rsidRPr="00582E61">
        <w:rPr>
          <w:color w:val="1F1F1F"/>
          <w:sz w:val="24"/>
          <w:szCs w:val="24"/>
        </w:rPr>
        <w:t xml:space="preserve"> where the Broker-in-Charge (BIC) must make specific company decisions and fill in their own protocols with advice and review of their legal counsel.</w:t>
      </w:r>
    </w:p>
    <w:p w14:paraId="436D0625" w14:textId="582CD94C" w:rsidR="00E81FA6" w:rsidRDefault="00A87629" w:rsidP="00582E61">
      <w:pPr>
        <w:spacing w:after="120"/>
        <w:jc w:val="center"/>
        <w:rPr>
          <w:b/>
          <w:bCs/>
          <w:color w:val="1F1F1F"/>
        </w:rPr>
      </w:pPr>
      <w:r>
        <w:rPr>
          <w:noProof/>
        </w:rPr>
        <w:pict w14:anchorId="50A6A6BB">
          <v:rect id="_x0000_i1025" alt="" style="width:468pt;height:.05pt;mso-width-percent:0;mso-height-percent:0;mso-width-percent:0;mso-height-percent:0" o:hralign="center" o:hrstd="t" o:hr="t" fillcolor="#a0a0a0" stroked="f"/>
        </w:pict>
      </w:r>
      <w:bookmarkStart w:id="15" w:name="_vdsfn4wwcqvi" w:colFirst="0" w:colLast="0"/>
      <w:bookmarkStart w:id="16" w:name="_o1p0je6rin1h" w:colFirst="0" w:colLast="0"/>
      <w:bookmarkEnd w:id="15"/>
      <w:bookmarkEnd w:id="16"/>
      <w:r w:rsidR="00000000">
        <w:rPr>
          <w:b/>
          <w:bCs/>
          <w:color w:val="1F1F1F"/>
        </w:rPr>
        <w:t xml:space="preserve"> </w:t>
      </w:r>
    </w:p>
    <w:p w14:paraId="489191C8" w14:textId="77777777" w:rsidR="00E81FA6" w:rsidRDefault="00000000">
      <w:pPr>
        <w:pStyle w:val="Heading3"/>
        <w:keepNext w:val="0"/>
        <w:keepLines w:val="0"/>
        <w:spacing w:before="0" w:after="120"/>
        <w:jc w:val="center"/>
        <w:rPr>
          <w:b/>
          <w:bCs/>
          <w:color w:val="1F1F1F"/>
        </w:rPr>
      </w:pPr>
      <w:bookmarkStart w:id="17" w:name="_c9qfgqbmmp1f" w:colFirst="0" w:colLast="0"/>
      <w:bookmarkEnd w:id="17"/>
      <w:r>
        <w:rPr>
          <w:b/>
          <w:bCs/>
          <w:color w:val="1F1F1F"/>
        </w:rPr>
        <w:t>[Insert Brokerage Name]</w:t>
      </w:r>
    </w:p>
    <w:p w14:paraId="1392856B" w14:textId="77777777" w:rsidR="00E81FA6" w:rsidRDefault="00000000">
      <w:pPr>
        <w:pStyle w:val="Heading3"/>
        <w:keepNext w:val="0"/>
        <w:keepLines w:val="0"/>
        <w:spacing w:before="0" w:after="120"/>
        <w:jc w:val="center"/>
        <w:rPr>
          <w:b/>
          <w:bCs/>
          <w:color w:val="1F1F1F"/>
        </w:rPr>
      </w:pPr>
      <w:bookmarkStart w:id="18" w:name="_q015ltht92yl" w:colFirst="0" w:colLast="0"/>
      <w:bookmarkEnd w:id="18"/>
      <w:r>
        <w:rPr>
          <w:b/>
          <w:bCs/>
          <w:color w:val="1F1F1F"/>
        </w:rPr>
        <w:t>Written Office Policy Manual: Agency &amp; Brokerage Operations</w:t>
      </w:r>
    </w:p>
    <w:p w14:paraId="77151297" w14:textId="77777777" w:rsidR="00E81FA6" w:rsidRDefault="00000000">
      <w:pPr>
        <w:rPr>
          <w:b/>
          <w:bCs/>
          <w:color w:val="1F1F1F"/>
        </w:rPr>
      </w:pPr>
      <w:r>
        <w:rPr>
          <w:b/>
          <w:bCs/>
          <w:color w:val="1F1F1F"/>
        </w:rPr>
        <w:t xml:space="preserve"> </w:t>
      </w:r>
    </w:p>
    <w:p w14:paraId="7E7717F3" w14:textId="77777777" w:rsidR="00E81FA6" w:rsidRDefault="00000000">
      <w:pPr>
        <w:jc w:val="center"/>
        <w:rPr>
          <w:color w:val="1F1F1F"/>
        </w:rPr>
      </w:pPr>
      <w:r>
        <w:rPr>
          <w:b/>
          <w:bCs/>
          <w:color w:val="1F1F1F"/>
        </w:rPr>
        <w:t>Effective Date:</w:t>
      </w:r>
      <w:r>
        <w:rPr>
          <w:color w:val="1F1F1F"/>
        </w:rPr>
        <w:t xml:space="preserve"> [Insert Date]</w:t>
      </w:r>
    </w:p>
    <w:p w14:paraId="39DEB11A" w14:textId="77777777" w:rsidR="00E81FA6" w:rsidRDefault="00000000">
      <w:pPr>
        <w:jc w:val="center"/>
        <w:rPr>
          <w:b/>
          <w:bCs/>
          <w:color w:val="1F1F1F"/>
        </w:rPr>
      </w:pPr>
      <w:r>
        <w:rPr>
          <w:b/>
          <w:bCs/>
          <w:color w:val="1F1F1F"/>
        </w:rPr>
        <w:t xml:space="preserve"> </w:t>
      </w:r>
    </w:p>
    <w:p w14:paraId="2F3CF49C" w14:textId="77777777" w:rsidR="00E81FA6" w:rsidRDefault="00000000">
      <w:pPr>
        <w:jc w:val="center"/>
        <w:rPr>
          <w:color w:val="1F1F1F"/>
        </w:rPr>
      </w:pPr>
      <w:r>
        <w:rPr>
          <w:b/>
          <w:bCs/>
          <w:color w:val="1F1F1F"/>
        </w:rPr>
        <w:t>Broker-in-Charge (BIC):</w:t>
      </w:r>
      <w:r>
        <w:rPr>
          <w:color w:val="1F1F1F"/>
        </w:rPr>
        <w:t xml:space="preserve"> [Insert BIC Name]</w:t>
      </w:r>
    </w:p>
    <w:p w14:paraId="5080C70F" w14:textId="77777777" w:rsidR="00E81FA6" w:rsidRDefault="00000000">
      <w:pPr>
        <w:pStyle w:val="Heading4"/>
        <w:keepNext w:val="0"/>
        <w:keepLines w:val="0"/>
        <w:spacing w:before="0" w:after="120"/>
        <w:rPr>
          <w:b/>
          <w:bCs/>
          <w:color w:val="1F1F1F"/>
        </w:rPr>
      </w:pPr>
      <w:bookmarkStart w:id="19" w:name="_a9alazt4yvkm" w:colFirst="0" w:colLast="0"/>
      <w:bookmarkEnd w:id="19"/>
      <w:r>
        <w:rPr>
          <w:b/>
          <w:bCs/>
          <w:color w:val="1F1F1F"/>
        </w:rPr>
        <w:t xml:space="preserve"> </w:t>
      </w:r>
    </w:p>
    <w:p w14:paraId="776161BD" w14:textId="77777777" w:rsidR="00E81FA6" w:rsidRDefault="00000000">
      <w:pPr>
        <w:pStyle w:val="Heading4"/>
        <w:keepNext w:val="0"/>
        <w:keepLines w:val="0"/>
        <w:spacing w:before="0" w:after="120"/>
        <w:rPr>
          <w:color w:val="1F1F1F"/>
        </w:rPr>
      </w:pPr>
      <w:bookmarkStart w:id="20" w:name="_nv0n5ndr92d3" w:colFirst="0" w:colLast="0"/>
      <w:bookmarkEnd w:id="20"/>
      <w:r>
        <w:rPr>
          <w:b/>
          <w:bCs/>
          <w:color w:val="1F1F1F"/>
          <w:sz w:val="28"/>
          <w:szCs w:val="28"/>
        </w:rPr>
        <w:t>1. Purpose:</w:t>
      </w:r>
      <w:r>
        <w:rPr>
          <w:b/>
          <w:bCs/>
          <w:color w:val="1F1F1F"/>
        </w:rPr>
        <w:t xml:space="preserve"> </w:t>
      </w:r>
      <w:r>
        <w:rPr>
          <w:color w:val="1F1F1F"/>
        </w:rPr>
        <w:t>Pursuant to South Carolina Code of Laws § 40-57-135 and § 40-57-510, this written office policy outlines the authorized agency relationships, scope of services, and operational procedures for [Insert Brokerage Name] (hereinafter "the Brokerage"). All associated licensees must strictly adhere to the policies set forth in this document.</w:t>
      </w:r>
    </w:p>
    <w:p w14:paraId="6DEF80F3" w14:textId="77777777" w:rsidR="00E81FA6" w:rsidRDefault="00000000">
      <w:pPr>
        <w:pStyle w:val="Heading4"/>
        <w:keepNext w:val="0"/>
        <w:keepLines w:val="0"/>
        <w:spacing w:before="0" w:after="120"/>
        <w:rPr>
          <w:b/>
          <w:bCs/>
          <w:color w:val="1F1F1F"/>
        </w:rPr>
      </w:pPr>
      <w:bookmarkStart w:id="21" w:name="_fup811lti35w" w:colFirst="0" w:colLast="0"/>
      <w:bookmarkEnd w:id="21"/>
      <w:r>
        <w:rPr>
          <w:b/>
          <w:bCs/>
          <w:color w:val="1F1F1F"/>
        </w:rPr>
        <w:t xml:space="preserve"> </w:t>
      </w:r>
    </w:p>
    <w:p w14:paraId="1832DCB2" w14:textId="77777777" w:rsidR="00E81FA6" w:rsidRDefault="00000000">
      <w:pPr>
        <w:pStyle w:val="Heading4"/>
        <w:keepNext w:val="0"/>
        <w:keepLines w:val="0"/>
        <w:spacing w:before="0" w:after="120"/>
        <w:rPr>
          <w:color w:val="1F1F1F"/>
        </w:rPr>
      </w:pPr>
      <w:bookmarkStart w:id="22" w:name="_q2e380b40zvb" w:colFirst="0" w:colLast="0"/>
      <w:bookmarkEnd w:id="22"/>
      <w:r>
        <w:rPr>
          <w:b/>
          <w:bCs/>
          <w:color w:val="1F1F1F"/>
          <w:sz w:val="28"/>
          <w:szCs w:val="28"/>
        </w:rPr>
        <w:t>2. Permitted Brokerage Relationships:</w:t>
      </w:r>
      <w:r>
        <w:rPr>
          <w:b/>
          <w:bCs/>
          <w:color w:val="1F1F1F"/>
        </w:rPr>
        <w:t xml:space="preserve"> </w:t>
      </w:r>
      <w:r>
        <w:rPr>
          <w:color w:val="1F1F1F"/>
        </w:rPr>
        <w:t>The Brokerage authorizes its associated licensees to offer the following types of representation and brokerage relationships to the public. (BIC: Remove any relationships your brokerage does not practice).</w:t>
      </w:r>
    </w:p>
    <w:p w14:paraId="72495A39" w14:textId="77777777" w:rsidR="00E81FA6" w:rsidRDefault="00000000">
      <w:pPr>
        <w:pStyle w:val="Heading4"/>
        <w:keepNext w:val="0"/>
        <w:keepLines w:val="0"/>
        <w:numPr>
          <w:ilvl w:val="0"/>
          <w:numId w:val="8"/>
        </w:numPr>
        <w:spacing w:before="0" w:after="0"/>
        <w:rPr>
          <w:color w:val="1F1F1F"/>
        </w:rPr>
      </w:pPr>
      <w:bookmarkStart w:id="23" w:name="_yelq0malcrya" w:colFirst="0" w:colLast="0"/>
      <w:bookmarkEnd w:id="23"/>
      <w:r>
        <w:rPr>
          <w:b/>
          <w:bCs/>
          <w:color w:val="1F1F1F"/>
        </w:rPr>
        <w:t>Seller Agency:</w:t>
      </w:r>
      <w:r>
        <w:rPr>
          <w:color w:val="1F1F1F"/>
        </w:rPr>
        <w:t xml:space="preserve"> The Brokerage will represent sellers as clients.</w:t>
      </w:r>
    </w:p>
    <w:p w14:paraId="03173A71" w14:textId="77777777" w:rsidR="00E81FA6" w:rsidRDefault="00000000">
      <w:pPr>
        <w:pStyle w:val="Heading4"/>
        <w:keepNext w:val="0"/>
        <w:keepLines w:val="0"/>
        <w:numPr>
          <w:ilvl w:val="0"/>
          <w:numId w:val="8"/>
        </w:numPr>
        <w:spacing w:before="0" w:after="0"/>
        <w:rPr>
          <w:color w:val="1F1F1F"/>
        </w:rPr>
      </w:pPr>
      <w:bookmarkStart w:id="24" w:name="_z629gtoycedy" w:colFirst="0" w:colLast="0"/>
      <w:bookmarkEnd w:id="24"/>
      <w:r>
        <w:rPr>
          <w:b/>
          <w:bCs/>
          <w:color w:val="1F1F1F"/>
        </w:rPr>
        <w:t>Buyer Agency:</w:t>
      </w:r>
      <w:r>
        <w:rPr>
          <w:color w:val="1F1F1F"/>
        </w:rPr>
        <w:t xml:space="preserve"> The Brokerage will represent buyers as clients.</w:t>
      </w:r>
    </w:p>
    <w:p w14:paraId="2D29AC96" w14:textId="77777777" w:rsidR="00E81FA6" w:rsidRDefault="00000000">
      <w:pPr>
        <w:pStyle w:val="Heading4"/>
        <w:keepNext w:val="0"/>
        <w:keepLines w:val="0"/>
        <w:numPr>
          <w:ilvl w:val="0"/>
          <w:numId w:val="8"/>
        </w:numPr>
        <w:spacing w:before="0" w:after="0"/>
        <w:rPr>
          <w:color w:val="1F1F1F"/>
        </w:rPr>
      </w:pPr>
      <w:bookmarkStart w:id="25" w:name="_898a69cypj4d" w:colFirst="0" w:colLast="0"/>
      <w:bookmarkEnd w:id="25"/>
      <w:r>
        <w:rPr>
          <w:b/>
          <w:bCs/>
          <w:color w:val="1F1F1F"/>
        </w:rPr>
        <w:t>Disclosed Dual Agency:</w:t>
      </w:r>
      <w:r>
        <w:rPr>
          <w:color w:val="1F1F1F"/>
        </w:rPr>
        <w:t xml:space="preserve"> The Brokerage may represent both the buyer and the seller in the same transaction as clients, provided both parties give written informed consent.</w:t>
      </w:r>
    </w:p>
    <w:p w14:paraId="32CEBE6D" w14:textId="77777777" w:rsidR="00E81FA6" w:rsidRDefault="00000000">
      <w:pPr>
        <w:pStyle w:val="Heading4"/>
        <w:keepNext w:val="0"/>
        <w:keepLines w:val="0"/>
        <w:numPr>
          <w:ilvl w:val="0"/>
          <w:numId w:val="8"/>
        </w:numPr>
        <w:spacing w:before="0" w:after="0"/>
        <w:rPr>
          <w:color w:val="1F1F1F"/>
        </w:rPr>
      </w:pPr>
      <w:bookmarkStart w:id="26" w:name="_kys4fdsl4uzu" w:colFirst="0" w:colLast="0"/>
      <w:bookmarkEnd w:id="26"/>
      <w:r>
        <w:rPr>
          <w:b/>
          <w:bCs/>
          <w:color w:val="1F1F1F"/>
        </w:rPr>
        <w:t>Designated Agency:</w:t>
      </w:r>
      <w:r>
        <w:rPr>
          <w:color w:val="1F1F1F"/>
        </w:rPr>
        <w:t xml:space="preserve"> The BIC may designate individual associated licensees to act solely on behalf of specific clients (one representing the buyer, one representing the seller) in the same transaction, with written informed consent from both parties.</w:t>
      </w:r>
    </w:p>
    <w:p w14:paraId="406C3477" w14:textId="77777777" w:rsidR="00E81FA6" w:rsidRDefault="00000000">
      <w:pPr>
        <w:pStyle w:val="Heading4"/>
        <w:keepNext w:val="0"/>
        <w:keepLines w:val="0"/>
        <w:numPr>
          <w:ilvl w:val="0"/>
          <w:numId w:val="8"/>
        </w:numPr>
        <w:spacing w:before="0" w:after="120"/>
        <w:rPr>
          <w:color w:val="1F1F1F"/>
        </w:rPr>
      </w:pPr>
      <w:bookmarkStart w:id="27" w:name="_ur8fz019d1ue" w:colFirst="0" w:colLast="0"/>
      <w:bookmarkEnd w:id="27"/>
      <w:r>
        <w:rPr>
          <w:b/>
          <w:bCs/>
          <w:color w:val="1F1F1F"/>
        </w:rPr>
        <w:t>Transaction Brokerage:</w:t>
      </w:r>
      <w:r>
        <w:rPr>
          <w:color w:val="1F1F1F"/>
        </w:rPr>
        <w:t xml:space="preserve"> The Brokerage may facilitate a transaction for buyers and/or sellers as </w:t>
      </w:r>
      <w:r>
        <w:rPr>
          <w:i/>
          <w:iCs/>
          <w:color w:val="1F1F1F"/>
        </w:rPr>
        <w:t>customers</w:t>
      </w:r>
      <w:r>
        <w:rPr>
          <w:color w:val="1F1F1F"/>
        </w:rPr>
        <w:t xml:space="preserve"> without acting as an agent or advocate for either party.</w:t>
      </w:r>
    </w:p>
    <w:p w14:paraId="0F4184D2" w14:textId="77777777" w:rsidR="00582E61" w:rsidRDefault="00000000">
      <w:pPr>
        <w:pStyle w:val="Heading4"/>
        <w:keepNext w:val="0"/>
        <w:keepLines w:val="0"/>
        <w:spacing w:before="0" w:after="120"/>
        <w:rPr>
          <w:b/>
          <w:bCs/>
          <w:color w:val="1F1F1F"/>
        </w:rPr>
      </w:pPr>
      <w:bookmarkStart w:id="28" w:name="_zcbde2sr9p8t" w:colFirst="0" w:colLast="0"/>
      <w:bookmarkEnd w:id="28"/>
      <w:r>
        <w:rPr>
          <w:b/>
          <w:bCs/>
          <w:color w:val="1F1F1F"/>
          <w:sz w:val="28"/>
          <w:szCs w:val="28"/>
        </w:rPr>
        <w:t>3. Creation of Brokerage Relationships:</w:t>
      </w:r>
      <w:r>
        <w:rPr>
          <w:b/>
          <w:bCs/>
          <w:color w:val="1F1F1F"/>
        </w:rPr>
        <w:t xml:space="preserve"> </w:t>
      </w:r>
    </w:p>
    <w:p w14:paraId="12257D0B" w14:textId="3727DC77" w:rsidR="00E81FA6" w:rsidRDefault="00000000">
      <w:pPr>
        <w:pStyle w:val="Heading4"/>
        <w:keepNext w:val="0"/>
        <w:keepLines w:val="0"/>
        <w:spacing w:before="0" w:after="120"/>
        <w:rPr>
          <w:b/>
          <w:bCs/>
          <w:color w:val="1F1F1F"/>
        </w:rPr>
      </w:pPr>
      <w:r>
        <w:rPr>
          <w:b/>
          <w:bCs/>
          <w:color w:val="1F1F1F"/>
        </w:rPr>
        <w:lastRenderedPageBreak/>
        <w:t>A brokerage relationship is strictly established as follows:</w:t>
      </w:r>
    </w:p>
    <w:p w14:paraId="433AD13C" w14:textId="77777777" w:rsidR="00E81FA6" w:rsidRDefault="00000000">
      <w:pPr>
        <w:pStyle w:val="Heading4"/>
        <w:keepNext w:val="0"/>
        <w:keepLines w:val="0"/>
        <w:numPr>
          <w:ilvl w:val="0"/>
          <w:numId w:val="10"/>
        </w:numPr>
        <w:spacing w:before="0" w:after="0"/>
        <w:rPr>
          <w:color w:val="1F1F1F"/>
        </w:rPr>
      </w:pPr>
      <w:bookmarkStart w:id="29" w:name="_74rkeqa0xqgu" w:colFirst="0" w:colLast="0"/>
      <w:bookmarkEnd w:id="29"/>
      <w:r>
        <w:rPr>
          <w:b/>
          <w:bCs/>
          <w:color w:val="1F1F1F"/>
        </w:rPr>
        <w:t>Clients (Agency):</w:t>
      </w:r>
      <w:r>
        <w:rPr>
          <w:color w:val="1F1F1F"/>
        </w:rPr>
        <w:t xml:space="preserve"> An agency relationship is </w:t>
      </w:r>
      <w:r>
        <w:rPr>
          <w:i/>
          <w:iCs/>
          <w:color w:val="1F1F1F"/>
        </w:rPr>
        <w:t>only</w:t>
      </w:r>
      <w:r>
        <w:rPr>
          <w:color w:val="1F1F1F"/>
        </w:rPr>
        <w:t xml:space="preserve"> created when a consumer signs a written representation agreement with the Brokerage (e.g., an Exclusive Right to Sell Listing Agreement or an Exclusive Buyer Agency Agreement). Oral agreements are not permitted.</w:t>
      </w:r>
    </w:p>
    <w:p w14:paraId="4279B427" w14:textId="77777777" w:rsidR="00E81FA6" w:rsidRDefault="00000000">
      <w:pPr>
        <w:pStyle w:val="Heading4"/>
        <w:keepNext w:val="0"/>
        <w:keepLines w:val="0"/>
        <w:numPr>
          <w:ilvl w:val="0"/>
          <w:numId w:val="10"/>
        </w:numPr>
        <w:spacing w:before="0" w:after="120"/>
        <w:rPr>
          <w:color w:val="1F1F1F"/>
        </w:rPr>
      </w:pPr>
      <w:bookmarkStart w:id="30" w:name="_ednvyffv4f25" w:colFirst="0" w:colLast="0"/>
      <w:bookmarkEnd w:id="30"/>
      <w:r>
        <w:rPr>
          <w:b/>
          <w:bCs/>
          <w:color w:val="1F1F1F"/>
        </w:rPr>
        <w:t>Customers (Transaction Brokerage):</w:t>
      </w:r>
      <w:r>
        <w:rPr>
          <w:color w:val="1F1F1F"/>
        </w:rPr>
        <w:t xml:space="preserve"> A customer relationship is created when a consumer chooses not to enter into a written agency agreement but utilizes the Brokerage's services. Licensees must still provide the mandatory disclosure form, but no fiduciary duties are owed.</w:t>
      </w:r>
    </w:p>
    <w:p w14:paraId="52010F56" w14:textId="77777777" w:rsidR="00E81FA6" w:rsidRDefault="00000000">
      <w:pPr>
        <w:pStyle w:val="Heading4"/>
        <w:keepNext w:val="0"/>
        <w:keepLines w:val="0"/>
        <w:spacing w:before="0" w:after="120"/>
        <w:rPr>
          <w:b/>
          <w:bCs/>
          <w:color w:val="1F1F1F"/>
          <w:sz w:val="28"/>
          <w:szCs w:val="28"/>
        </w:rPr>
      </w:pPr>
      <w:bookmarkStart w:id="31" w:name="_9arytbvffwke" w:colFirst="0" w:colLast="0"/>
      <w:bookmarkEnd w:id="31"/>
      <w:r>
        <w:rPr>
          <w:b/>
          <w:bCs/>
          <w:color w:val="1F1F1F"/>
          <w:sz w:val="28"/>
          <w:szCs w:val="28"/>
        </w:rPr>
        <w:t xml:space="preserve"> </w:t>
      </w:r>
    </w:p>
    <w:p w14:paraId="0DB647E9" w14:textId="77777777" w:rsidR="00E81FA6" w:rsidRDefault="00000000">
      <w:pPr>
        <w:pStyle w:val="Heading4"/>
        <w:keepNext w:val="0"/>
        <w:keepLines w:val="0"/>
        <w:spacing w:before="0" w:after="120"/>
        <w:rPr>
          <w:b/>
          <w:bCs/>
          <w:color w:val="1F1F1F"/>
          <w:sz w:val="28"/>
          <w:szCs w:val="28"/>
        </w:rPr>
      </w:pPr>
      <w:bookmarkStart w:id="32" w:name="_n1vm38hw32xw" w:colFirst="0" w:colLast="0"/>
      <w:bookmarkEnd w:id="32"/>
      <w:r>
        <w:rPr>
          <w:b/>
          <w:bCs/>
          <w:color w:val="1F1F1F"/>
          <w:sz w:val="28"/>
          <w:szCs w:val="28"/>
        </w:rPr>
        <w:t>4. Scope of Services Owed</w:t>
      </w:r>
    </w:p>
    <w:p w14:paraId="24F17E2D" w14:textId="77777777" w:rsidR="00E81FA6" w:rsidRPr="00582E61" w:rsidRDefault="00000000">
      <w:pPr>
        <w:spacing w:after="160"/>
        <w:rPr>
          <w:color w:val="1F1F1F"/>
          <w:sz w:val="24"/>
          <w:szCs w:val="24"/>
        </w:rPr>
      </w:pPr>
      <w:r w:rsidRPr="00582E61">
        <w:rPr>
          <w:color w:val="1F1F1F"/>
          <w:sz w:val="24"/>
          <w:szCs w:val="24"/>
        </w:rPr>
        <w:t>Licensees must clearly understand the difference in duties owed to clients versus customers.</w:t>
      </w:r>
    </w:p>
    <w:p w14:paraId="5F825797" w14:textId="77777777" w:rsidR="00E81FA6" w:rsidRPr="00582E61" w:rsidRDefault="00000000">
      <w:pPr>
        <w:rPr>
          <w:b/>
          <w:bCs/>
          <w:color w:val="1F1F1F"/>
          <w:sz w:val="24"/>
          <w:szCs w:val="24"/>
        </w:rPr>
      </w:pPr>
      <w:r w:rsidRPr="00582E61">
        <w:rPr>
          <w:b/>
          <w:bCs/>
          <w:color w:val="1F1F1F"/>
          <w:sz w:val="24"/>
          <w:szCs w:val="24"/>
        </w:rPr>
        <w:t>To Clients, the Brokerage and its licensees owe statutory fiduciary duties, including:</w:t>
      </w:r>
    </w:p>
    <w:p w14:paraId="2667347E" w14:textId="77777777" w:rsidR="00E81FA6" w:rsidRPr="00582E61" w:rsidRDefault="00000000">
      <w:pPr>
        <w:numPr>
          <w:ilvl w:val="0"/>
          <w:numId w:val="7"/>
        </w:numPr>
        <w:rPr>
          <w:color w:val="1F1F1F"/>
          <w:sz w:val="24"/>
          <w:szCs w:val="24"/>
        </w:rPr>
      </w:pPr>
      <w:r w:rsidRPr="00582E61">
        <w:rPr>
          <w:color w:val="1F1F1F"/>
          <w:sz w:val="24"/>
          <w:szCs w:val="24"/>
        </w:rPr>
        <w:t>Obedience, loyalty, and full disclosure.</w:t>
      </w:r>
    </w:p>
    <w:p w14:paraId="60558A2E" w14:textId="77777777" w:rsidR="00E81FA6" w:rsidRPr="00582E61" w:rsidRDefault="00000000">
      <w:pPr>
        <w:numPr>
          <w:ilvl w:val="0"/>
          <w:numId w:val="7"/>
        </w:numPr>
        <w:rPr>
          <w:color w:val="1F1F1F"/>
          <w:sz w:val="24"/>
          <w:szCs w:val="24"/>
        </w:rPr>
      </w:pPr>
      <w:r w:rsidRPr="00582E61">
        <w:rPr>
          <w:color w:val="1F1F1F"/>
          <w:sz w:val="24"/>
          <w:szCs w:val="24"/>
        </w:rPr>
        <w:t>Confidentiality of all information that would weaken the client's bargaining position.</w:t>
      </w:r>
    </w:p>
    <w:p w14:paraId="4CA300B2" w14:textId="77777777" w:rsidR="00E81FA6" w:rsidRPr="00582E61" w:rsidRDefault="00000000">
      <w:pPr>
        <w:numPr>
          <w:ilvl w:val="0"/>
          <w:numId w:val="7"/>
        </w:numPr>
        <w:rPr>
          <w:color w:val="1F1F1F"/>
          <w:sz w:val="24"/>
          <w:szCs w:val="24"/>
        </w:rPr>
      </w:pPr>
      <w:r w:rsidRPr="00582E61">
        <w:rPr>
          <w:color w:val="1F1F1F"/>
          <w:sz w:val="24"/>
          <w:szCs w:val="24"/>
        </w:rPr>
        <w:t>Accounting for all money and property.</w:t>
      </w:r>
    </w:p>
    <w:p w14:paraId="245E7B6A" w14:textId="77777777" w:rsidR="00E81FA6" w:rsidRPr="00582E61" w:rsidRDefault="00000000">
      <w:pPr>
        <w:numPr>
          <w:ilvl w:val="0"/>
          <w:numId w:val="7"/>
        </w:numPr>
        <w:rPr>
          <w:color w:val="1F1F1F"/>
          <w:sz w:val="24"/>
          <w:szCs w:val="24"/>
        </w:rPr>
      </w:pPr>
      <w:r w:rsidRPr="00582E61">
        <w:rPr>
          <w:color w:val="1F1F1F"/>
          <w:sz w:val="24"/>
          <w:szCs w:val="24"/>
        </w:rPr>
        <w:t>Reasonable care and skill.</w:t>
      </w:r>
    </w:p>
    <w:p w14:paraId="57B167AD" w14:textId="77777777" w:rsidR="00E81FA6" w:rsidRPr="00582E61" w:rsidRDefault="00000000">
      <w:pPr>
        <w:numPr>
          <w:ilvl w:val="0"/>
          <w:numId w:val="7"/>
        </w:numPr>
        <w:rPr>
          <w:color w:val="1F1F1F"/>
          <w:sz w:val="24"/>
          <w:szCs w:val="24"/>
        </w:rPr>
      </w:pPr>
      <w:r w:rsidRPr="00582E61">
        <w:rPr>
          <w:color w:val="1F1F1F"/>
          <w:sz w:val="24"/>
          <w:szCs w:val="24"/>
        </w:rPr>
        <w:t>Advocacy and negotiating on the client's behalf.</w:t>
      </w:r>
    </w:p>
    <w:p w14:paraId="4BE32D57" w14:textId="77777777" w:rsidR="00E81FA6" w:rsidRPr="00582E61" w:rsidRDefault="00E81FA6">
      <w:pPr>
        <w:rPr>
          <w:b/>
          <w:bCs/>
          <w:color w:val="1F1F1F"/>
          <w:sz w:val="24"/>
          <w:szCs w:val="24"/>
        </w:rPr>
      </w:pPr>
    </w:p>
    <w:p w14:paraId="654F461C" w14:textId="77777777" w:rsidR="00E81FA6" w:rsidRPr="00582E61" w:rsidRDefault="00000000">
      <w:pPr>
        <w:rPr>
          <w:b/>
          <w:bCs/>
          <w:color w:val="1F1F1F"/>
          <w:sz w:val="24"/>
          <w:szCs w:val="24"/>
        </w:rPr>
      </w:pPr>
      <w:r w:rsidRPr="00582E61">
        <w:rPr>
          <w:b/>
          <w:bCs/>
          <w:color w:val="1F1F1F"/>
          <w:sz w:val="24"/>
          <w:szCs w:val="24"/>
        </w:rPr>
        <w:t xml:space="preserve">To Customers, the Brokerage and its licensees do </w:t>
      </w:r>
      <w:r w:rsidRPr="00582E61">
        <w:rPr>
          <w:b/>
          <w:bCs/>
          <w:i/>
          <w:iCs/>
          <w:color w:val="1F1F1F"/>
          <w:sz w:val="24"/>
          <w:szCs w:val="24"/>
        </w:rPr>
        <w:t>not</w:t>
      </w:r>
      <w:r w:rsidRPr="00582E61">
        <w:rPr>
          <w:b/>
          <w:bCs/>
          <w:color w:val="1F1F1F"/>
          <w:sz w:val="24"/>
          <w:szCs w:val="24"/>
        </w:rPr>
        <w:t xml:space="preserve"> owe fiduciary duties or advocacy, but do owe:</w:t>
      </w:r>
    </w:p>
    <w:p w14:paraId="2D418268" w14:textId="77777777" w:rsidR="00E81FA6" w:rsidRPr="00582E61" w:rsidRDefault="00000000">
      <w:pPr>
        <w:numPr>
          <w:ilvl w:val="0"/>
          <w:numId w:val="2"/>
        </w:numPr>
        <w:rPr>
          <w:color w:val="1F1F1F"/>
          <w:sz w:val="24"/>
          <w:szCs w:val="24"/>
        </w:rPr>
      </w:pPr>
      <w:r w:rsidRPr="00582E61">
        <w:rPr>
          <w:color w:val="1F1F1F"/>
          <w:sz w:val="24"/>
          <w:szCs w:val="24"/>
        </w:rPr>
        <w:t>Honesty, fairness, and good faith in all dealings.</w:t>
      </w:r>
    </w:p>
    <w:p w14:paraId="45348847" w14:textId="77777777" w:rsidR="00E81FA6" w:rsidRPr="00582E61" w:rsidRDefault="00000000">
      <w:pPr>
        <w:numPr>
          <w:ilvl w:val="0"/>
          <w:numId w:val="2"/>
        </w:numPr>
        <w:rPr>
          <w:color w:val="1F1F1F"/>
          <w:sz w:val="24"/>
          <w:szCs w:val="24"/>
        </w:rPr>
      </w:pPr>
      <w:r w:rsidRPr="00582E61">
        <w:rPr>
          <w:color w:val="1F1F1F"/>
          <w:sz w:val="24"/>
          <w:szCs w:val="24"/>
        </w:rPr>
        <w:t>Disclosure of all known material adverse facts about the property condition.</w:t>
      </w:r>
    </w:p>
    <w:p w14:paraId="0B5CE3FD" w14:textId="77777777" w:rsidR="00E81FA6" w:rsidRPr="00582E61" w:rsidRDefault="00000000">
      <w:pPr>
        <w:numPr>
          <w:ilvl w:val="0"/>
          <w:numId w:val="2"/>
        </w:numPr>
        <w:rPr>
          <w:color w:val="1F1F1F"/>
          <w:sz w:val="24"/>
          <w:szCs w:val="24"/>
        </w:rPr>
      </w:pPr>
      <w:r w:rsidRPr="00582E61">
        <w:rPr>
          <w:color w:val="1F1F1F"/>
          <w:sz w:val="24"/>
          <w:szCs w:val="24"/>
        </w:rPr>
        <w:t>Accounting for all money and property.</w:t>
      </w:r>
    </w:p>
    <w:p w14:paraId="05A30C5F" w14:textId="77777777" w:rsidR="00E81FA6" w:rsidRPr="00582E61" w:rsidRDefault="00000000">
      <w:pPr>
        <w:numPr>
          <w:ilvl w:val="0"/>
          <w:numId w:val="2"/>
        </w:numPr>
        <w:spacing w:after="160"/>
        <w:rPr>
          <w:color w:val="1F1F1F"/>
          <w:sz w:val="24"/>
          <w:szCs w:val="24"/>
        </w:rPr>
      </w:pPr>
      <w:r w:rsidRPr="00582E61">
        <w:rPr>
          <w:color w:val="1F1F1F"/>
          <w:sz w:val="24"/>
          <w:szCs w:val="24"/>
        </w:rPr>
        <w:t>Presentation of all written offers in a timely manner.</w:t>
      </w:r>
    </w:p>
    <w:p w14:paraId="5B1E5979" w14:textId="77777777" w:rsidR="00E81FA6" w:rsidRDefault="00000000">
      <w:pPr>
        <w:pStyle w:val="Heading4"/>
        <w:keepNext w:val="0"/>
        <w:keepLines w:val="0"/>
        <w:spacing w:before="0" w:after="120"/>
        <w:rPr>
          <w:b/>
          <w:bCs/>
          <w:color w:val="1F1F1F"/>
          <w:sz w:val="28"/>
          <w:szCs w:val="28"/>
        </w:rPr>
      </w:pPr>
      <w:bookmarkStart w:id="33" w:name="_a6jshc5kmkof" w:colFirst="0" w:colLast="0"/>
      <w:bookmarkEnd w:id="33"/>
      <w:r>
        <w:rPr>
          <w:b/>
          <w:bCs/>
          <w:color w:val="1F1F1F"/>
          <w:sz w:val="28"/>
          <w:szCs w:val="28"/>
        </w:rPr>
        <w:t xml:space="preserve"> </w:t>
      </w:r>
    </w:p>
    <w:p w14:paraId="47541362" w14:textId="77777777" w:rsidR="00582E61" w:rsidRDefault="00000000">
      <w:pPr>
        <w:pStyle w:val="Heading4"/>
        <w:keepNext w:val="0"/>
        <w:keepLines w:val="0"/>
        <w:spacing w:before="0" w:after="120"/>
        <w:rPr>
          <w:b/>
          <w:bCs/>
          <w:color w:val="1F1F1F"/>
          <w:sz w:val="28"/>
          <w:szCs w:val="28"/>
        </w:rPr>
      </w:pPr>
      <w:bookmarkStart w:id="34" w:name="_by1idq1gutqp" w:colFirst="0" w:colLast="0"/>
      <w:bookmarkEnd w:id="34"/>
      <w:r>
        <w:rPr>
          <w:b/>
          <w:bCs/>
          <w:color w:val="1F1F1F"/>
          <w:sz w:val="28"/>
          <w:szCs w:val="28"/>
        </w:rPr>
        <w:t xml:space="preserve">5. Agency Disclosure Procedures: </w:t>
      </w:r>
    </w:p>
    <w:p w14:paraId="365B634E" w14:textId="5969B510" w:rsidR="00E81FA6" w:rsidRDefault="00000000">
      <w:pPr>
        <w:pStyle w:val="Heading4"/>
        <w:keepNext w:val="0"/>
        <w:keepLines w:val="0"/>
        <w:spacing w:before="0" w:after="120"/>
        <w:rPr>
          <w:b/>
          <w:bCs/>
          <w:color w:val="1F1F1F"/>
        </w:rPr>
      </w:pPr>
      <w:r>
        <w:rPr>
          <w:b/>
          <w:bCs/>
          <w:color w:val="1F1F1F"/>
        </w:rPr>
        <w:t>Compliance with South Carolina agency disclosure laws is strictly enforced.</w:t>
      </w:r>
    </w:p>
    <w:p w14:paraId="6AFD73D6" w14:textId="77777777" w:rsidR="00E81FA6" w:rsidRPr="00582E61" w:rsidRDefault="00000000">
      <w:pPr>
        <w:numPr>
          <w:ilvl w:val="0"/>
          <w:numId w:val="3"/>
        </w:numPr>
        <w:rPr>
          <w:color w:val="1F1F1F"/>
          <w:sz w:val="24"/>
          <w:szCs w:val="24"/>
        </w:rPr>
      </w:pPr>
      <w:r w:rsidRPr="00582E61">
        <w:rPr>
          <w:b/>
          <w:bCs/>
          <w:color w:val="1F1F1F"/>
          <w:sz w:val="24"/>
          <w:szCs w:val="24"/>
        </w:rPr>
        <w:t>The SC Disclosure Form:</w:t>
      </w:r>
      <w:r w:rsidRPr="00582E61">
        <w:rPr>
          <w:color w:val="1F1F1F"/>
          <w:sz w:val="24"/>
          <w:szCs w:val="24"/>
        </w:rPr>
        <w:t xml:space="preserve"> Licensees must provide the </w:t>
      </w:r>
      <w:r w:rsidRPr="00582E61">
        <w:rPr>
          <w:i/>
          <w:iCs/>
          <w:color w:val="1F1F1F"/>
          <w:sz w:val="24"/>
          <w:szCs w:val="24"/>
        </w:rPr>
        <w:t>South Carolina Disclosure of Real Estate Brokerage Relationships</w:t>
      </w:r>
      <w:r w:rsidRPr="00582E61">
        <w:rPr>
          <w:color w:val="1F1F1F"/>
          <w:sz w:val="24"/>
          <w:szCs w:val="24"/>
        </w:rPr>
        <w:t xml:space="preserve"> brochure to all consumers at the </w:t>
      </w:r>
      <w:r w:rsidRPr="00582E61">
        <w:rPr>
          <w:b/>
          <w:bCs/>
          <w:color w:val="1F1F1F"/>
          <w:sz w:val="24"/>
          <w:szCs w:val="24"/>
        </w:rPr>
        <w:t>first practical opportunity</w:t>
      </w:r>
      <w:r w:rsidRPr="00582E61">
        <w:rPr>
          <w:color w:val="1F1F1F"/>
          <w:sz w:val="24"/>
          <w:szCs w:val="24"/>
        </w:rPr>
        <w:t xml:space="preserve"> at which substantive contact occurs (e.g., before discussing a consumer's specific real estate needs or financial situation).</w:t>
      </w:r>
    </w:p>
    <w:p w14:paraId="1851C40B" w14:textId="77777777" w:rsidR="00E81FA6" w:rsidRPr="00582E61" w:rsidRDefault="00000000">
      <w:pPr>
        <w:numPr>
          <w:ilvl w:val="0"/>
          <w:numId w:val="3"/>
        </w:numPr>
        <w:rPr>
          <w:color w:val="1F1F1F"/>
          <w:sz w:val="24"/>
          <w:szCs w:val="24"/>
        </w:rPr>
      </w:pPr>
      <w:r w:rsidRPr="00582E61">
        <w:rPr>
          <w:b/>
          <w:bCs/>
          <w:color w:val="1F1F1F"/>
          <w:sz w:val="24"/>
          <w:szCs w:val="24"/>
        </w:rPr>
        <w:lastRenderedPageBreak/>
        <w:t>Acknowledgment:</w:t>
      </w:r>
      <w:r w:rsidRPr="00582E61">
        <w:rPr>
          <w:color w:val="1F1F1F"/>
          <w:sz w:val="24"/>
          <w:szCs w:val="24"/>
        </w:rPr>
        <w:t xml:space="preserve"> Licensees must attempt to obtain the consumer's signature acknowledging receipt of the brochure. If the consumer refuses to sign, the licensee must document the refusal on the form and retain a copy in the transaction file.</w:t>
      </w:r>
    </w:p>
    <w:p w14:paraId="13DA91AC" w14:textId="77777777" w:rsidR="00E81FA6" w:rsidRDefault="00000000">
      <w:pPr>
        <w:pStyle w:val="Heading4"/>
        <w:keepNext w:val="0"/>
        <w:keepLines w:val="0"/>
        <w:spacing w:before="0" w:after="120"/>
        <w:rPr>
          <w:b/>
          <w:bCs/>
          <w:color w:val="1F1F1F"/>
        </w:rPr>
      </w:pPr>
      <w:bookmarkStart w:id="35" w:name="_v3uzs3u04xma" w:colFirst="0" w:colLast="0"/>
      <w:bookmarkEnd w:id="35"/>
      <w:r>
        <w:rPr>
          <w:b/>
          <w:bCs/>
          <w:color w:val="1F1F1F"/>
        </w:rPr>
        <w:t xml:space="preserve"> </w:t>
      </w:r>
    </w:p>
    <w:p w14:paraId="43132563" w14:textId="77777777" w:rsidR="00E81FA6" w:rsidRDefault="00000000">
      <w:pPr>
        <w:pStyle w:val="Heading4"/>
        <w:keepNext w:val="0"/>
        <w:keepLines w:val="0"/>
        <w:spacing w:before="0" w:after="120"/>
        <w:rPr>
          <w:b/>
          <w:bCs/>
          <w:color w:val="1F1F1F"/>
        </w:rPr>
      </w:pPr>
      <w:bookmarkStart w:id="36" w:name="_gzkme6vv4k6q" w:colFirst="0" w:colLast="0"/>
      <w:bookmarkEnd w:id="36"/>
      <w:r>
        <w:rPr>
          <w:b/>
          <w:bCs/>
          <w:color w:val="1F1F1F"/>
          <w:sz w:val="28"/>
          <w:szCs w:val="28"/>
        </w:rPr>
        <w:t xml:space="preserve">6. Confidentiality: </w:t>
      </w:r>
      <w:r>
        <w:rPr>
          <w:b/>
          <w:bCs/>
          <w:color w:val="1F1F1F"/>
        </w:rPr>
        <w:t>Protecting client confidentiality is a cornerstone of this Brokerage.</w:t>
      </w:r>
    </w:p>
    <w:p w14:paraId="508E1FC1" w14:textId="77777777" w:rsidR="00E81FA6" w:rsidRDefault="00000000">
      <w:pPr>
        <w:pStyle w:val="Heading4"/>
        <w:keepNext w:val="0"/>
        <w:keepLines w:val="0"/>
        <w:numPr>
          <w:ilvl w:val="0"/>
          <w:numId w:val="1"/>
        </w:numPr>
        <w:spacing w:before="0" w:after="0"/>
        <w:rPr>
          <w:color w:val="1F1F1F"/>
        </w:rPr>
      </w:pPr>
      <w:bookmarkStart w:id="37" w:name="_v85m1ietdl8n" w:colFirst="0" w:colLast="0"/>
      <w:bookmarkEnd w:id="37"/>
      <w:r>
        <w:rPr>
          <w:color w:val="1F1F1F"/>
        </w:rPr>
        <w:t>Licensees must not disclose any confidential information regarding a client (including motivation to buy/sell, financial qualifications, or willingness to accept a specific price) unless authorized by the client in writing or required by law.</w:t>
      </w:r>
    </w:p>
    <w:p w14:paraId="77651251" w14:textId="77777777" w:rsidR="00E81FA6" w:rsidRDefault="00000000">
      <w:pPr>
        <w:pStyle w:val="Heading4"/>
        <w:keepNext w:val="0"/>
        <w:keepLines w:val="0"/>
        <w:numPr>
          <w:ilvl w:val="0"/>
          <w:numId w:val="1"/>
        </w:numPr>
        <w:spacing w:before="0" w:after="0"/>
        <w:rPr>
          <w:color w:val="1F1F1F"/>
        </w:rPr>
      </w:pPr>
      <w:bookmarkStart w:id="38" w:name="_uf5z04sxzcx4" w:colFirst="0" w:colLast="0"/>
      <w:bookmarkEnd w:id="38"/>
      <w:r>
        <w:rPr>
          <w:color w:val="1F1F1F"/>
        </w:rPr>
        <w:t>The duty of confidentiality survives the expiration or termination of the agency relationship.</w:t>
      </w:r>
    </w:p>
    <w:p w14:paraId="7B7C9A25" w14:textId="77777777" w:rsidR="00E81FA6" w:rsidRDefault="00000000">
      <w:pPr>
        <w:pStyle w:val="Heading4"/>
        <w:keepNext w:val="0"/>
        <w:keepLines w:val="0"/>
        <w:numPr>
          <w:ilvl w:val="0"/>
          <w:numId w:val="1"/>
        </w:numPr>
        <w:spacing w:before="0" w:after="120"/>
        <w:rPr>
          <w:color w:val="1F1F1F"/>
        </w:rPr>
      </w:pPr>
      <w:bookmarkStart w:id="39" w:name="_gsw9qs4076hf" w:colFirst="0" w:colLast="0"/>
      <w:bookmarkEnd w:id="39"/>
      <w:r>
        <w:rPr>
          <w:color w:val="1F1F1F"/>
        </w:rPr>
        <w:t>In the event of Dual or Designated Agency, licensees must strictly follow the Brokerage's internal procedures to ensure confidential information is not shared between designated agents or improperly utilized by the dual agent.</w:t>
      </w:r>
    </w:p>
    <w:p w14:paraId="7915417D" w14:textId="77777777" w:rsidR="00582E61" w:rsidRPr="00582E61" w:rsidRDefault="00582E61" w:rsidP="00582E61"/>
    <w:p w14:paraId="76326CDB" w14:textId="77777777" w:rsidR="00E81FA6" w:rsidRDefault="00000000">
      <w:pPr>
        <w:pStyle w:val="Heading4"/>
        <w:keepNext w:val="0"/>
        <w:keepLines w:val="0"/>
        <w:spacing w:before="0" w:after="120"/>
        <w:rPr>
          <w:b/>
          <w:bCs/>
          <w:color w:val="1F1F1F"/>
        </w:rPr>
      </w:pPr>
      <w:bookmarkStart w:id="40" w:name="_xarhuadeyg07" w:colFirst="0" w:colLast="0"/>
      <w:bookmarkEnd w:id="40"/>
      <w:r>
        <w:rPr>
          <w:b/>
          <w:bCs/>
          <w:color w:val="1F1F1F"/>
          <w:sz w:val="28"/>
          <w:szCs w:val="28"/>
        </w:rPr>
        <w:t xml:space="preserve">7. Cooperation with other Brokers: </w:t>
      </w:r>
      <w:r>
        <w:rPr>
          <w:b/>
          <w:bCs/>
          <w:color w:val="1F1F1F"/>
        </w:rPr>
        <w:t>The Brokerage’s policy regarding cooperation with outside real estate firms is as follows:</w:t>
      </w:r>
    </w:p>
    <w:p w14:paraId="078711A9" w14:textId="77777777" w:rsidR="00E81FA6" w:rsidRDefault="00000000">
      <w:pPr>
        <w:pStyle w:val="Heading4"/>
        <w:keepNext w:val="0"/>
        <w:keepLines w:val="0"/>
        <w:numPr>
          <w:ilvl w:val="0"/>
          <w:numId w:val="5"/>
        </w:numPr>
        <w:spacing w:before="0" w:after="0"/>
        <w:rPr>
          <w:color w:val="1F1F1F"/>
        </w:rPr>
      </w:pPr>
      <w:bookmarkStart w:id="41" w:name="_m886voty8e2x" w:colFirst="0" w:colLast="0"/>
      <w:bookmarkEnd w:id="41"/>
      <w:r>
        <w:rPr>
          <w:b/>
          <w:bCs/>
          <w:color w:val="1F1F1F"/>
        </w:rPr>
        <w:t>MLS Participation:</w:t>
      </w:r>
      <w:r>
        <w:rPr>
          <w:color w:val="1F1F1F"/>
        </w:rPr>
        <w:t xml:space="preserve"> The Brokerage utilizes the </w:t>
      </w:r>
      <w:r>
        <w:rPr>
          <w:b/>
          <w:bCs/>
          <w:color w:val="1F1F1F"/>
        </w:rPr>
        <w:t>[Insert MLS Name]</w:t>
      </w:r>
      <w:r>
        <w:rPr>
          <w:color w:val="1F1F1F"/>
        </w:rPr>
        <w:t xml:space="preserve"> to share listings.</w:t>
      </w:r>
    </w:p>
    <w:p w14:paraId="63BD3CDC" w14:textId="77777777" w:rsidR="00E81FA6" w:rsidRDefault="00000000">
      <w:pPr>
        <w:pStyle w:val="Heading4"/>
        <w:keepNext w:val="0"/>
        <w:keepLines w:val="0"/>
        <w:numPr>
          <w:ilvl w:val="0"/>
          <w:numId w:val="5"/>
        </w:numPr>
        <w:spacing w:before="0" w:after="120"/>
        <w:rPr>
          <w:color w:val="1F1F1F"/>
        </w:rPr>
      </w:pPr>
      <w:bookmarkStart w:id="42" w:name="_7b6pvxwjmba6" w:colFirst="0" w:colLast="0"/>
      <w:bookmarkEnd w:id="42"/>
      <w:r>
        <w:rPr>
          <w:b/>
          <w:bCs/>
          <w:color w:val="1F1F1F"/>
        </w:rPr>
        <w:t>Compensation:</w:t>
      </w:r>
      <w:r>
        <w:rPr>
          <w:color w:val="1F1F1F"/>
        </w:rPr>
        <w:t xml:space="preserve"> </w:t>
      </w:r>
      <w:r>
        <w:rPr>
          <w:i/>
          <w:iCs/>
          <w:color w:val="1F1F1F"/>
        </w:rPr>
        <w:t>(BIC: Specify exact compensation policies and note that compensation is negotiable and not set by law.)</w:t>
      </w:r>
      <w:r>
        <w:rPr>
          <w:color w:val="1F1F1F"/>
        </w:rPr>
        <w:t xml:space="preserve"> </w:t>
      </w:r>
    </w:p>
    <w:p w14:paraId="6DD4B429" w14:textId="77777777" w:rsidR="00E81FA6" w:rsidRDefault="00E81FA6"/>
    <w:p w14:paraId="14108CD9" w14:textId="77777777" w:rsidR="00E81FA6" w:rsidRDefault="00000000">
      <w:pPr>
        <w:pStyle w:val="Heading4"/>
        <w:keepNext w:val="0"/>
        <w:keepLines w:val="0"/>
        <w:spacing w:before="0" w:after="120"/>
        <w:rPr>
          <w:b/>
          <w:bCs/>
          <w:color w:val="1F1F1F"/>
          <w:sz w:val="28"/>
          <w:szCs w:val="28"/>
        </w:rPr>
      </w:pPr>
      <w:bookmarkStart w:id="43" w:name="_4eg73knfv6xg" w:colFirst="0" w:colLast="0"/>
      <w:bookmarkEnd w:id="43"/>
      <w:r>
        <w:rPr>
          <w:b/>
          <w:bCs/>
          <w:color w:val="1F1F1F"/>
          <w:sz w:val="28"/>
          <w:szCs w:val="28"/>
        </w:rPr>
        <w:t>8. Fair Housing Compliance</w:t>
      </w:r>
    </w:p>
    <w:p w14:paraId="59F80F5C" w14:textId="77777777" w:rsidR="00E81FA6" w:rsidRDefault="00000000">
      <w:pPr>
        <w:rPr>
          <w:color w:val="1F1F1F"/>
          <w:sz w:val="24"/>
          <w:szCs w:val="24"/>
        </w:rPr>
      </w:pPr>
      <w:r>
        <w:rPr>
          <w:b/>
          <w:bCs/>
          <w:color w:val="1F1F1F"/>
          <w:sz w:val="24"/>
          <w:szCs w:val="24"/>
        </w:rPr>
        <w:t>[Insert Brokerage Name]</w:t>
      </w:r>
      <w:r>
        <w:rPr>
          <w:color w:val="1F1F1F"/>
          <w:sz w:val="24"/>
          <w:szCs w:val="24"/>
        </w:rPr>
        <w:t xml:space="preserve"> is firmly committed to providing equal professional service to all persons.</w:t>
      </w:r>
    </w:p>
    <w:p w14:paraId="1C7234E9" w14:textId="77777777" w:rsidR="00E81FA6" w:rsidRDefault="00000000">
      <w:pPr>
        <w:numPr>
          <w:ilvl w:val="0"/>
          <w:numId w:val="4"/>
        </w:numPr>
        <w:rPr>
          <w:color w:val="1F1F1F"/>
          <w:sz w:val="24"/>
          <w:szCs w:val="24"/>
        </w:rPr>
      </w:pPr>
      <w:r>
        <w:rPr>
          <w:color w:val="1F1F1F"/>
          <w:sz w:val="24"/>
          <w:szCs w:val="24"/>
        </w:rPr>
        <w:t>No licensee shall discriminate in the sale, rental, or financing of housing based on race, color, religion, sex, handicap/disability, familial status, national origin, or any other legally protected class under federal, state, or local Fair Housing laws.</w:t>
      </w:r>
    </w:p>
    <w:p w14:paraId="6464851E" w14:textId="77777777" w:rsidR="00E81FA6" w:rsidRDefault="00000000">
      <w:pPr>
        <w:numPr>
          <w:ilvl w:val="0"/>
          <w:numId w:val="4"/>
        </w:numPr>
        <w:spacing w:after="160"/>
        <w:rPr>
          <w:color w:val="1F1F1F"/>
          <w:sz w:val="24"/>
          <w:szCs w:val="24"/>
        </w:rPr>
      </w:pPr>
      <w:r>
        <w:rPr>
          <w:color w:val="1F1F1F"/>
          <w:sz w:val="24"/>
          <w:szCs w:val="24"/>
        </w:rPr>
        <w:t>Any violation of Fair Housing laws by a licensee is grounds for immediate termination of their association with the Brokerage.</w:t>
      </w:r>
    </w:p>
    <w:p w14:paraId="7F53ABC2" w14:textId="77777777" w:rsidR="00E81FA6" w:rsidRDefault="00000000">
      <w:pPr>
        <w:pStyle w:val="Heading4"/>
        <w:keepNext w:val="0"/>
        <w:keepLines w:val="0"/>
        <w:spacing w:before="0" w:after="120"/>
        <w:rPr>
          <w:b/>
          <w:bCs/>
          <w:color w:val="1F1F1F"/>
        </w:rPr>
      </w:pPr>
      <w:bookmarkStart w:id="44" w:name="_5t9snymnxrf" w:colFirst="0" w:colLast="0"/>
      <w:bookmarkEnd w:id="44"/>
      <w:r>
        <w:rPr>
          <w:b/>
          <w:bCs/>
          <w:color w:val="1F1F1F"/>
        </w:rPr>
        <w:t xml:space="preserve"> </w:t>
      </w:r>
    </w:p>
    <w:p w14:paraId="47F125D7" w14:textId="77777777" w:rsidR="00E81FA6" w:rsidRDefault="00000000">
      <w:pPr>
        <w:pStyle w:val="Heading4"/>
        <w:keepNext w:val="0"/>
        <w:keepLines w:val="0"/>
        <w:spacing w:before="0" w:after="120"/>
        <w:rPr>
          <w:b/>
          <w:bCs/>
          <w:color w:val="1F1F1F"/>
          <w:sz w:val="28"/>
          <w:szCs w:val="28"/>
        </w:rPr>
      </w:pPr>
      <w:bookmarkStart w:id="45" w:name="_gu4sv5q0h0y2" w:colFirst="0" w:colLast="0"/>
      <w:bookmarkEnd w:id="45"/>
      <w:r>
        <w:rPr>
          <w:b/>
          <w:bCs/>
          <w:color w:val="1F1F1F"/>
          <w:sz w:val="28"/>
          <w:szCs w:val="28"/>
        </w:rPr>
        <w:t>9. Real Estate Teams</w:t>
      </w:r>
    </w:p>
    <w:p w14:paraId="09458665" w14:textId="77777777" w:rsidR="00E81FA6" w:rsidRDefault="00000000">
      <w:pPr>
        <w:rPr>
          <w:color w:val="1F1F1F"/>
          <w:sz w:val="24"/>
          <w:szCs w:val="24"/>
        </w:rPr>
      </w:pPr>
      <w:r>
        <w:rPr>
          <w:color w:val="1F1F1F"/>
          <w:sz w:val="24"/>
          <w:szCs w:val="24"/>
        </w:rPr>
        <w:t xml:space="preserve">The Brokerage </w:t>
      </w:r>
      <w:r>
        <w:rPr>
          <w:b/>
          <w:bCs/>
          <w:color w:val="1F1F1F"/>
          <w:sz w:val="24"/>
          <w:szCs w:val="24"/>
        </w:rPr>
        <w:t>[does / does not]</w:t>
      </w:r>
      <w:r>
        <w:rPr>
          <w:color w:val="1F1F1F"/>
          <w:sz w:val="24"/>
          <w:szCs w:val="24"/>
        </w:rPr>
        <w:t xml:space="preserve"> permit the formation and operation of real estate teams within the company. </w:t>
      </w:r>
      <w:r>
        <w:rPr>
          <w:i/>
          <w:iCs/>
          <w:color w:val="1F1F1F"/>
          <w:sz w:val="24"/>
          <w:szCs w:val="24"/>
        </w:rPr>
        <w:t>(BIC: If your brokerage does not allow teams, you can stop here. If you do, include the following provisions).</w:t>
      </w:r>
      <w:r>
        <w:rPr>
          <w:color w:val="1F1F1F"/>
          <w:sz w:val="24"/>
          <w:szCs w:val="24"/>
        </w:rPr>
        <w:t xml:space="preserve"> If associated licensees choose to </w:t>
      </w:r>
      <w:r>
        <w:rPr>
          <w:color w:val="1F1F1F"/>
          <w:sz w:val="24"/>
          <w:szCs w:val="24"/>
        </w:rPr>
        <w:lastRenderedPageBreak/>
        <w:t>operate as a real estate team under the Brokerage, they must adhere to the rules set forth by SC Code § 40-57-360 and the following company protocols:</w:t>
      </w:r>
    </w:p>
    <w:p w14:paraId="4B4189A3" w14:textId="77777777" w:rsidR="00E81FA6" w:rsidRDefault="00000000">
      <w:pPr>
        <w:numPr>
          <w:ilvl w:val="0"/>
          <w:numId w:val="6"/>
        </w:numPr>
        <w:rPr>
          <w:color w:val="1F1F1F"/>
          <w:sz w:val="24"/>
          <w:szCs w:val="24"/>
        </w:rPr>
      </w:pPr>
      <w:r>
        <w:rPr>
          <w:b/>
          <w:bCs/>
          <w:color w:val="1F1F1F"/>
          <w:sz w:val="24"/>
          <w:szCs w:val="24"/>
        </w:rPr>
        <w:t>Supervision:</w:t>
      </w:r>
      <w:r>
        <w:rPr>
          <w:color w:val="1F1F1F"/>
          <w:sz w:val="24"/>
          <w:szCs w:val="24"/>
        </w:rPr>
        <w:t xml:space="preserve"> The Broker-in-Charge (BIC) retains sole responsibility for supervising the team and all of its licensed members. Supervisory responsibilities </w:t>
      </w:r>
      <w:r>
        <w:rPr>
          <w:b/>
          <w:bCs/>
          <w:color w:val="1F1F1F"/>
          <w:sz w:val="24"/>
          <w:szCs w:val="24"/>
        </w:rPr>
        <w:t>cannot</w:t>
      </w:r>
      <w:r>
        <w:rPr>
          <w:color w:val="1F1F1F"/>
          <w:sz w:val="24"/>
          <w:szCs w:val="24"/>
        </w:rPr>
        <w:t xml:space="preserve"> be delegated to a "team leader" or any other team member.</w:t>
      </w:r>
    </w:p>
    <w:p w14:paraId="2C4A0DDB" w14:textId="77777777" w:rsidR="00E81FA6" w:rsidRDefault="00000000">
      <w:pPr>
        <w:numPr>
          <w:ilvl w:val="0"/>
          <w:numId w:val="6"/>
        </w:numPr>
        <w:rPr>
          <w:color w:val="1F1F1F"/>
          <w:sz w:val="24"/>
          <w:szCs w:val="24"/>
        </w:rPr>
      </w:pPr>
      <w:r>
        <w:rPr>
          <w:b/>
          <w:bCs/>
          <w:color w:val="1F1F1F"/>
          <w:sz w:val="24"/>
          <w:szCs w:val="24"/>
        </w:rPr>
        <w:t>Office Location:</w:t>
      </w:r>
      <w:r>
        <w:rPr>
          <w:color w:val="1F1F1F"/>
          <w:sz w:val="24"/>
          <w:szCs w:val="24"/>
        </w:rPr>
        <w:t xml:space="preserve"> All team members must conduct their real estate brokerage activities from the Brokerage's commission-established office under the direct supervision of the BIC. Teams are not permitted to operate out of an independent, unapproved physical office location.</w:t>
      </w:r>
    </w:p>
    <w:p w14:paraId="300243A8" w14:textId="77777777" w:rsidR="00E81FA6" w:rsidRDefault="00000000">
      <w:pPr>
        <w:numPr>
          <w:ilvl w:val="0"/>
          <w:numId w:val="6"/>
        </w:numPr>
        <w:rPr>
          <w:color w:val="1F1F1F"/>
          <w:sz w:val="24"/>
          <w:szCs w:val="24"/>
        </w:rPr>
      </w:pPr>
      <w:r>
        <w:rPr>
          <w:b/>
          <w:bCs/>
          <w:color w:val="1F1F1F"/>
          <w:sz w:val="24"/>
          <w:szCs w:val="24"/>
        </w:rPr>
        <w:t>Team Agency and Dual Agency:</w:t>
      </w:r>
      <w:r>
        <w:rPr>
          <w:color w:val="1F1F1F"/>
          <w:sz w:val="24"/>
          <w:szCs w:val="24"/>
        </w:rPr>
        <w:t xml:space="preserve"> Teams are permitted to act as disclosed dual agents </w:t>
      </w:r>
      <w:r>
        <w:rPr>
          <w:b/>
          <w:bCs/>
          <w:color w:val="1F1F1F"/>
          <w:sz w:val="24"/>
          <w:szCs w:val="24"/>
        </w:rPr>
        <w:t>only</w:t>
      </w:r>
      <w:r>
        <w:rPr>
          <w:color w:val="1F1F1F"/>
          <w:sz w:val="24"/>
          <w:szCs w:val="24"/>
        </w:rPr>
        <w:t xml:space="preserve"> with the prior informed and written consent of all parties involved in the transaction. When a team operates as a dual agent, the team and all of its members represent both the buyer and the seller. </w:t>
      </w:r>
      <w:r>
        <w:rPr>
          <w:i/>
          <w:iCs/>
          <w:color w:val="1F1F1F"/>
          <w:sz w:val="24"/>
          <w:szCs w:val="24"/>
        </w:rPr>
        <w:t>(BIC: Ensure this aligns with your decisions in Section 2. If the brokerage does not allow dual agency, teams cannot practice it).</w:t>
      </w:r>
    </w:p>
    <w:p w14:paraId="61EA473D" w14:textId="77777777" w:rsidR="00E81FA6" w:rsidRDefault="00000000">
      <w:pPr>
        <w:numPr>
          <w:ilvl w:val="0"/>
          <w:numId w:val="6"/>
        </w:numPr>
        <w:rPr>
          <w:color w:val="1F1F1F"/>
          <w:sz w:val="24"/>
          <w:szCs w:val="24"/>
        </w:rPr>
      </w:pPr>
      <w:r>
        <w:rPr>
          <w:b/>
          <w:bCs/>
          <w:color w:val="1F1F1F"/>
          <w:sz w:val="24"/>
          <w:szCs w:val="24"/>
        </w:rPr>
        <w:t>Team Naming &amp; Advertising Requirements:</w:t>
      </w:r>
      <w:r>
        <w:rPr>
          <w:color w:val="1F1F1F"/>
          <w:sz w:val="24"/>
          <w:szCs w:val="24"/>
        </w:rPr>
        <w:t xml:space="preserve"> To ensure the public is never misled into believing a team is a standalone entity, all team advertising and marketing (including signs, social media, websites, and print) must strictly follow these rules:</w:t>
      </w:r>
    </w:p>
    <w:p w14:paraId="73BBECBD" w14:textId="77777777" w:rsidR="00E81FA6" w:rsidRDefault="00000000">
      <w:pPr>
        <w:numPr>
          <w:ilvl w:val="1"/>
          <w:numId w:val="6"/>
        </w:numPr>
        <w:rPr>
          <w:color w:val="1F1F1F"/>
          <w:sz w:val="24"/>
          <w:szCs w:val="24"/>
        </w:rPr>
      </w:pPr>
      <w:r>
        <w:rPr>
          <w:color w:val="1F1F1F"/>
          <w:sz w:val="24"/>
          <w:szCs w:val="24"/>
        </w:rPr>
        <w:t xml:space="preserve">The team name must end with the phrase: </w:t>
      </w:r>
      <w:r>
        <w:rPr>
          <w:b/>
          <w:bCs/>
          <w:color w:val="1F1F1F"/>
          <w:sz w:val="24"/>
          <w:szCs w:val="24"/>
        </w:rPr>
        <w:t>"[Insert Team Name] team at [Insert Brokerage Firm Name]"</w:t>
      </w:r>
      <w:r>
        <w:rPr>
          <w:color w:val="1F1F1F"/>
          <w:sz w:val="24"/>
          <w:szCs w:val="24"/>
        </w:rPr>
        <w:t>.</w:t>
      </w:r>
    </w:p>
    <w:p w14:paraId="0B75F8FD" w14:textId="77777777" w:rsidR="00E81FA6" w:rsidRDefault="00000000">
      <w:pPr>
        <w:numPr>
          <w:ilvl w:val="1"/>
          <w:numId w:val="6"/>
        </w:numPr>
        <w:rPr>
          <w:color w:val="1F1F1F"/>
          <w:sz w:val="24"/>
          <w:szCs w:val="24"/>
        </w:rPr>
      </w:pPr>
      <w:r>
        <w:rPr>
          <w:color w:val="1F1F1F"/>
          <w:sz w:val="24"/>
          <w:szCs w:val="24"/>
        </w:rPr>
        <w:t>The team may not imply in any way that it is a separate business entity from the Brokerage.</w:t>
      </w:r>
    </w:p>
    <w:p w14:paraId="47DDABCC" w14:textId="77777777" w:rsidR="00E81FA6" w:rsidRDefault="00000000">
      <w:pPr>
        <w:numPr>
          <w:ilvl w:val="1"/>
          <w:numId w:val="6"/>
        </w:numPr>
        <w:rPr>
          <w:color w:val="1F1F1F"/>
          <w:sz w:val="24"/>
          <w:szCs w:val="24"/>
        </w:rPr>
      </w:pPr>
      <w:r>
        <w:rPr>
          <w:color w:val="1F1F1F"/>
          <w:sz w:val="24"/>
          <w:szCs w:val="24"/>
        </w:rPr>
        <w:t xml:space="preserve">In all advertising, the team name may </w:t>
      </w:r>
      <w:r>
        <w:rPr>
          <w:b/>
          <w:bCs/>
          <w:color w:val="1F1F1F"/>
          <w:sz w:val="24"/>
          <w:szCs w:val="24"/>
        </w:rPr>
        <w:t>not</w:t>
      </w:r>
      <w:r>
        <w:rPr>
          <w:color w:val="1F1F1F"/>
          <w:sz w:val="24"/>
          <w:szCs w:val="24"/>
        </w:rPr>
        <w:t xml:space="preserve"> be more than twice the size, prominence, or frequency of the Brokerage’s full name.</w:t>
      </w:r>
    </w:p>
    <w:p w14:paraId="1E147931" w14:textId="77777777" w:rsidR="00E81FA6" w:rsidRDefault="00000000">
      <w:pPr>
        <w:pStyle w:val="Heading3"/>
        <w:keepNext w:val="0"/>
        <w:keepLines w:val="0"/>
        <w:spacing w:before="0" w:after="120"/>
        <w:rPr>
          <w:b/>
          <w:bCs/>
          <w:color w:val="1F1F1F"/>
          <w:sz w:val="26"/>
          <w:szCs w:val="26"/>
        </w:rPr>
      </w:pPr>
      <w:bookmarkStart w:id="46" w:name="_v2j8ztqt6gbw" w:colFirst="0" w:colLast="0"/>
      <w:bookmarkEnd w:id="46"/>
      <w:r>
        <w:rPr>
          <w:b/>
          <w:bCs/>
          <w:color w:val="1F1F1F"/>
          <w:sz w:val="26"/>
          <w:szCs w:val="26"/>
        </w:rPr>
        <w:t xml:space="preserve"> </w:t>
      </w:r>
    </w:p>
    <w:p w14:paraId="127A1C9A" w14:textId="77777777" w:rsidR="00E81FA6" w:rsidRDefault="00000000">
      <w:pPr>
        <w:pStyle w:val="Heading3"/>
        <w:keepNext w:val="0"/>
        <w:keepLines w:val="0"/>
        <w:spacing w:before="0" w:after="120"/>
        <w:rPr>
          <w:b/>
          <w:bCs/>
          <w:i/>
          <w:iCs/>
          <w:color w:val="1F1F1F"/>
        </w:rPr>
      </w:pPr>
      <w:bookmarkStart w:id="47" w:name="_ma66lc58oe2g" w:colFirst="0" w:colLast="0"/>
      <w:bookmarkEnd w:id="47"/>
      <w:r>
        <w:rPr>
          <w:b/>
          <w:bCs/>
          <w:i/>
          <w:iCs/>
          <w:color w:val="1F1F1F"/>
        </w:rPr>
        <w:t>10. Social Media Policy</w:t>
      </w:r>
    </w:p>
    <w:p w14:paraId="71A80494" w14:textId="77777777" w:rsidR="00E81FA6" w:rsidRDefault="00000000">
      <w:pPr>
        <w:rPr>
          <w:sz w:val="24"/>
          <w:szCs w:val="24"/>
        </w:rPr>
      </w:pPr>
      <w:r>
        <w:rPr>
          <w:sz w:val="24"/>
          <w:szCs w:val="24"/>
        </w:rPr>
        <w:t>A real estate brokerage must have a comprehensive social media policy to protect its brand reputation and ensure strict legal compliance across all digital platforms. Because agents frequently use personal and professional accounts to market properties and solicit business, a clear policy mitigates the risk of Fair Housing violations, unauthorized advertising, and accidental breaches of client confidentiality. By establishing definitive guidelines on acceptable content, mandatory brokerage identification, and proper online conduct, the Broker-in-Charge can effectively supervise agents' digital footprints while safeguarding the firm from costly liabilities and regulatory disciplinary actions.</w:t>
      </w:r>
    </w:p>
    <w:p w14:paraId="55C48A4A" w14:textId="77777777" w:rsidR="00E81FA6" w:rsidRDefault="00E81FA6">
      <w:pPr>
        <w:rPr>
          <w:sz w:val="24"/>
          <w:szCs w:val="24"/>
        </w:rPr>
      </w:pPr>
    </w:p>
    <w:p w14:paraId="6FFA21B4" w14:textId="77777777" w:rsidR="00E81FA6" w:rsidRDefault="00000000">
      <w:pPr>
        <w:pStyle w:val="Heading3"/>
        <w:keepNext w:val="0"/>
        <w:keepLines w:val="0"/>
        <w:spacing w:before="0" w:after="120"/>
        <w:rPr>
          <w:b/>
          <w:bCs/>
          <w:i/>
          <w:iCs/>
          <w:color w:val="1F1F1F"/>
        </w:rPr>
      </w:pPr>
      <w:bookmarkStart w:id="48" w:name="_tg4zf3mwna5r" w:colFirst="0" w:colLast="0"/>
      <w:bookmarkEnd w:id="48"/>
      <w:r>
        <w:rPr>
          <w:b/>
          <w:bCs/>
          <w:i/>
          <w:iCs/>
          <w:color w:val="1F1F1F"/>
        </w:rPr>
        <w:t>11. A.I. Policy</w:t>
      </w:r>
    </w:p>
    <w:p w14:paraId="69EBFB03" w14:textId="77777777" w:rsidR="00E81FA6" w:rsidRDefault="00000000">
      <w:pPr>
        <w:pStyle w:val="Heading3"/>
        <w:keepNext w:val="0"/>
        <w:keepLines w:val="0"/>
        <w:spacing w:before="0" w:after="120"/>
        <w:rPr>
          <w:color w:val="000000"/>
          <w:sz w:val="26"/>
          <w:szCs w:val="26"/>
        </w:rPr>
      </w:pPr>
      <w:bookmarkStart w:id="49" w:name="_jp6ixfpex2vt" w:colFirst="0" w:colLast="0"/>
      <w:bookmarkEnd w:id="49"/>
      <w:r>
        <w:rPr>
          <w:color w:val="000000"/>
          <w:sz w:val="26"/>
          <w:szCs w:val="26"/>
        </w:rPr>
        <w:t xml:space="preserve">A real estate brokerage needs a clear Artificial Intelligence (AI) policy to safely navigate the rapid adoption of generative tools while mitigating significant new </w:t>
      </w:r>
      <w:r>
        <w:rPr>
          <w:color w:val="000000"/>
          <w:sz w:val="26"/>
          <w:szCs w:val="26"/>
        </w:rPr>
        <w:lastRenderedPageBreak/>
        <w:t>legal and ethical risks. As agents increasingly rely on AI to write listing descriptions, generate marketing materials, or draft correspondence, a firm policy is essential to prevent the unauthorized input of confidential client data into public AI models. Furthermore, establishing strict guidelines protects the brokerage from liability arising from AI "hallucinations" (generating inaccurate property or contract details), ensures all AI-assisted advertising complies with Fair Housing laws, and maintains the fiduciary duty of care and accuracy owed to the public.</w:t>
      </w:r>
    </w:p>
    <w:p w14:paraId="1D098F43" w14:textId="77777777" w:rsidR="00E81FA6" w:rsidRDefault="00000000">
      <w:pPr>
        <w:pStyle w:val="Heading3"/>
        <w:keepNext w:val="0"/>
        <w:keepLines w:val="0"/>
        <w:spacing w:before="0" w:after="120"/>
        <w:rPr>
          <w:i/>
          <w:iCs/>
          <w:color w:val="000000"/>
          <w:sz w:val="26"/>
          <w:szCs w:val="26"/>
        </w:rPr>
      </w:pPr>
      <w:bookmarkStart w:id="50" w:name="_e9r0gyi8pp70" w:colFirst="0" w:colLast="0"/>
      <w:bookmarkEnd w:id="50"/>
      <w:r>
        <w:rPr>
          <w:b/>
          <w:bCs/>
          <w:color w:val="000000"/>
          <w:sz w:val="26"/>
          <w:szCs w:val="26"/>
        </w:rPr>
        <w:t xml:space="preserve">Reference: </w:t>
      </w:r>
      <w:r>
        <w:rPr>
          <w:i/>
          <w:iCs/>
          <w:color w:val="000000"/>
          <w:sz w:val="26"/>
          <w:szCs w:val="26"/>
        </w:rPr>
        <w:t>National Association of REALTORS®: "Why Every Brokerage Needs an AI Use Policy" (</w:t>
      </w:r>
      <w:hyperlink r:id="rId8">
        <w:r>
          <w:rPr>
            <w:i/>
            <w:iCs/>
            <w:color w:val="1155CC"/>
            <w:sz w:val="26"/>
            <w:szCs w:val="26"/>
            <w:u w:val="single"/>
          </w:rPr>
          <w:t>https://www.nar.realtor/magazine/broker-news/why-every-brokerage-needs-an-ai-use-policy</w:t>
        </w:r>
      </w:hyperlink>
      <w:r>
        <w:rPr>
          <w:i/>
          <w:iCs/>
          <w:color w:val="000000"/>
          <w:sz w:val="26"/>
          <w:szCs w:val="26"/>
        </w:rPr>
        <w:t>)</w:t>
      </w:r>
    </w:p>
    <w:p w14:paraId="12C9C9C5" w14:textId="77777777" w:rsidR="00E81FA6" w:rsidRDefault="00000000">
      <w:pPr>
        <w:pStyle w:val="Heading3"/>
        <w:keepNext w:val="0"/>
        <w:keepLines w:val="0"/>
        <w:spacing w:before="0" w:after="120"/>
        <w:rPr>
          <w:b/>
          <w:bCs/>
          <w:color w:val="1F1F1F"/>
          <w:sz w:val="26"/>
          <w:szCs w:val="26"/>
        </w:rPr>
      </w:pPr>
      <w:bookmarkStart w:id="51" w:name="_st0s10nu0wfb" w:colFirst="0" w:colLast="0"/>
      <w:bookmarkEnd w:id="51"/>
      <w:r>
        <w:rPr>
          <w:b/>
          <w:bCs/>
          <w:color w:val="1F1F1F"/>
          <w:sz w:val="26"/>
          <w:szCs w:val="26"/>
        </w:rPr>
        <w:t xml:space="preserve"> </w:t>
      </w:r>
    </w:p>
    <w:p w14:paraId="624E4888" w14:textId="77777777" w:rsidR="00E81FA6" w:rsidRDefault="00000000">
      <w:pPr>
        <w:pStyle w:val="Heading3"/>
        <w:keepNext w:val="0"/>
        <w:keepLines w:val="0"/>
        <w:spacing w:before="0" w:after="120"/>
        <w:rPr>
          <w:b/>
          <w:bCs/>
          <w:color w:val="1F1F1F"/>
        </w:rPr>
      </w:pPr>
      <w:bookmarkStart w:id="52" w:name="_fjavudorcx86" w:colFirst="0" w:colLast="0"/>
      <w:bookmarkEnd w:id="52"/>
      <w:r>
        <w:rPr>
          <w:b/>
          <w:bCs/>
          <w:color w:val="1F1F1F"/>
        </w:rPr>
        <w:t>Licensee Acknowledgment</w:t>
      </w:r>
    </w:p>
    <w:p w14:paraId="70416B8F" w14:textId="77777777" w:rsidR="00E81FA6" w:rsidRDefault="00000000">
      <w:pPr>
        <w:rPr>
          <w:color w:val="1F1F1F"/>
          <w:sz w:val="24"/>
          <w:szCs w:val="24"/>
        </w:rPr>
      </w:pPr>
      <w:r>
        <w:rPr>
          <w:color w:val="1F1F1F"/>
          <w:sz w:val="24"/>
          <w:szCs w:val="24"/>
        </w:rPr>
        <w:t xml:space="preserve">By signing below, I acknowledge that I have received, read, and understand the </w:t>
      </w:r>
      <w:r>
        <w:rPr>
          <w:b/>
          <w:bCs/>
          <w:color w:val="1F1F1F"/>
          <w:sz w:val="24"/>
          <w:szCs w:val="24"/>
        </w:rPr>
        <w:t>[Insert Brokerage Name]</w:t>
      </w:r>
      <w:r>
        <w:rPr>
          <w:color w:val="1F1F1F"/>
          <w:sz w:val="24"/>
          <w:szCs w:val="24"/>
        </w:rPr>
        <w:t xml:space="preserve"> Written Office Policy Manual. I agree to comply with all policies and procedures outlined within this document and understand that failure to do so may result in disciplinary action by the Broker-in-Charge or the South Carolina Real Estate Commission.</w:t>
      </w:r>
    </w:p>
    <w:p w14:paraId="18C84B35" w14:textId="77777777" w:rsidR="00E81FA6" w:rsidRDefault="00000000">
      <w:pPr>
        <w:rPr>
          <w:b/>
          <w:bCs/>
          <w:color w:val="1F1F1F"/>
          <w:sz w:val="24"/>
          <w:szCs w:val="24"/>
        </w:rPr>
      </w:pPr>
      <w:r>
        <w:rPr>
          <w:b/>
          <w:bCs/>
          <w:color w:val="1F1F1F"/>
          <w:sz w:val="24"/>
          <w:szCs w:val="24"/>
        </w:rPr>
        <w:t xml:space="preserve"> </w:t>
      </w:r>
    </w:p>
    <w:p w14:paraId="56F9E647" w14:textId="77777777" w:rsidR="00E81FA6" w:rsidRDefault="00000000">
      <w:pPr>
        <w:rPr>
          <w:b/>
          <w:bCs/>
          <w:color w:val="1F1F1F"/>
          <w:sz w:val="24"/>
          <w:szCs w:val="24"/>
        </w:rPr>
      </w:pPr>
      <w:r>
        <w:rPr>
          <w:b/>
          <w:bCs/>
          <w:color w:val="1F1F1F"/>
          <w:sz w:val="24"/>
          <w:szCs w:val="24"/>
        </w:rPr>
        <w:t>Licensee Printed Name:</w:t>
      </w:r>
    </w:p>
    <w:p w14:paraId="4C040A35" w14:textId="77777777" w:rsidR="00E81FA6" w:rsidRDefault="00000000">
      <w:pPr>
        <w:rPr>
          <w:b/>
          <w:bCs/>
          <w:color w:val="1F1F1F"/>
          <w:sz w:val="24"/>
          <w:szCs w:val="24"/>
        </w:rPr>
      </w:pPr>
      <w:r>
        <w:rPr>
          <w:b/>
          <w:bCs/>
          <w:color w:val="1F1F1F"/>
          <w:sz w:val="24"/>
          <w:szCs w:val="24"/>
        </w:rPr>
        <w:t xml:space="preserve"> </w:t>
      </w:r>
    </w:p>
    <w:p w14:paraId="520879FB" w14:textId="77777777" w:rsidR="00E81FA6" w:rsidRDefault="00000000">
      <w:pPr>
        <w:rPr>
          <w:b/>
          <w:bCs/>
          <w:color w:val="1F1F1F"/>
          <w:sz w:val="24"/>
          <w:szCs w:val="24"/>
        </w:rPr>
      </w:pPr>
      <w:r>
        <w:rPr>
          <w:b/>
          <w:bCs/>
          <w:color w:val="1F1F1F"/>
          <w:sz w:val="24"/>
          <w:szCs w:val="24"/>
        </w:rPr>
        <w:t>Licensee Signature:</w:t>
      </w:r>
      <w:r>
        <w:rPr>
          <w:color w:val="1F1F1F"/>
          <w:sz w:val="24"/>
          <w:szCs w:val="24"/>
        </w:rPr>
        <w:t xml:space="preserve">                                                                  </w:t>
      </w:r>
      <w:r>
        <w:rPr>
          <w:color w:val="1F1F1F"/>
          <w:sz w:val="24"/>
          <w:szCs w:val="24"/>
        </w:rPr>
        <w:tab/>
      </w:r>
      <w:r>
        <w:rPr>
          <w:b/>
          <w:bCs/>
          <w:color w:val="1F1F1F"/>
          <w:sz w:val="24"/>
          <w:szCs w:val="24"/>
        </w:rPr>
        <w:t>Date:</w:t>
      </w:r>
    </w:p>
    <w:p w14:paraId="2A3C6D26" w14:textId="77777777" w:rsidR="00E81FA6" w:rsidRDefault="00000000">
      <w:pPr>
        <w:rPr>
          <w:b/>
          <w:bCs/>
          <w:color w:val="1F1F1F"/>
          <w:sz w:val="24"/>
          <w:szCs w:val="24"/>
        </w:rPr>
      </w:pPr>
      <w:r>
        <w:rPr>
          <w:b/>
          <w:bCs/>
          <w:color w:val="1F1F1F"/>
          <w:sz w:val="24"/>
          <w:szCs w:val="24"/>
        </w:rPr>
        <w:t xml:space="preserve"> </w:t>
      </w:r>
    </w:p>
    <w:p w14:paraId="6B3411E9" w14:textId="77777777" w:rsidR="00E81FA6" w:rsidRDefault="00000000">
      <w:pPr>
        <w:rPr>
          <w:b/>
          <w:bCs/>
          <w:color w:val="1F1F1F"/>
          <w:sz w:val="24"/>
          <w:szCs w:val="24"/>
        </w:rPr>
      </w:pPr>
      <w:r>
        <w:rPr>
          <w:b/>
          <w:bCs/>
          <w:color w:val="1F1F1F"/>
          <w:sz w:val="24"/>
          <w:szCs w:val="24"/>
        </w:rPr>
        <w:t>Broker-in-Charge Signature:</w:t>
      </w:r>
      <w:r>
        <w:rPr>
          <w:color w:val="1F1F1F"/>
          <w:sz w:val="24"/>
          <w:szCs w:val="24"/>
        </w:rPr>
        <w:t xml:space="preserve">                                                  </w:t>
      </w:r>
      <w:r>
        <w:rPr>
          <w:color w:val="1F1F1F"/>
          <w:sz w:val="24"/>
          <w:szCs w:val="24"/>
        </w:rPr>
        <w:tab/>
      </w:r>
      <w:r>
        <w:rPr>
          <w:b/>
          <w:bCs/>
          <w:color w:val="1F1F1F"/>
          <w:sz w:val="24"/>
          <w:szCs w:val="24"/>
        </w:rPr>
        <w:t>Date:</w:t>
      </w:r>
    </w:p>
    <w:p w14:paraId="479FFFF2" w14:textId="77777777" w:rsidR="00E81FA6" w:rsidRDefault="00E81FA6">
      <w:pPr>
        <w:rPr>
          <w:color w:val="1F1F1F"/>
          <w:sz w:val="24"/>
          <w:szCs w:val="24"/>
        </w:rPr>
      </w:pPr>
    </w:p>
    <w:p w14:paraId="602ABAC2" w14:textId="77777777" w:rsidR="00E81FA6" w:rsidRDefault="00E81FA6">
      <w:pPr>
        <w:rPr>
          <w:color w:val="1F1F1F"/>
          <w:sz w:val="24"/>
          <w:szCs w:val="24"/>
        </w:rPr>
      </w:pPr>
    </w:p>
    <w:p w14:paraId="624B8821" w14:textId="77777777" w:rsidR="00E81FA6" w:rsidRDefault="00000000">
      <w:pPr>
        <w:rPr>
          <w:sz w:val="24"/>
          <w:szCs w:val="24"/>
        </w:rPr>
      </w:pPr>
      <w:r>
        <w:rPr>
          <w:sz w:val="24"/>
          <w:szCs w:val="24"/>
        </w:rPr>
        <w:t xml:space="preserve"> </w:t>
      </w:r>
    </w:p>
    <w:p w14:paraId="06B24A29" w14:textId="77777777" w:rsidR="00E81FA6" w:rsidRDefault="00000000">
      <w:pPr>
        <w:rPr>
          <w:sz w:val="24"/>
          <w:szCs w:val="24"/>
        </w:rPr>
      </w:pPr>
      <w:r>
        <w:rPr>
          <w:sz w:val="24"/>
          <w:szCs w:val="24"/>
        </w:rPr>
        <w:t xml:space="preserve"> </w:t>
      </w:r>
    </w:p>
    <w:p w14:paraId="00D3B727" w14:textId="77777777" w:rsidR="00E81FA6" w:rsidRDefault="00000000">
      <w:pPr>
        <w:rPr>
          <w:sz w:val="24"/>
          <w:szCs w:val="24"/>
        </w:rPr>
      </w:pPr>
      <w:r>
        <w:rPr>
          <w:sz w:val="24"/>
          <w:szCs w:val="24"/>
        </w:rPr>
        <w:t xml:space="preserve"> </w:t>
      </w:r>
    </w:p>
    <w:p w14:paraId="552605BE" w14:textId="77777777" w:rsidR="00E81FA6" w:rsidRDefault="00000000">
      <w:pPr>
        <w:spacing w:line="247" w:lineRule="auto"/>
        <w:ind w:left="720" w:right="360"/>
        <w:jc w:val="both"/>
        <w:rPr>
          <w:sz w:val="24"/>
          <w:szCs w:val="24"/>
        </w:rPr>
      </w:pPr>
      <w:r>
        <w:rPr>
          <w:sz w:val="24"/>
          <w:szCs w:val="24"/>
        </w:rPr>
        <w:t xml:space="preserve"> </w:t>
      </w:r>
    </w:p>
    <w:p w14:paraId="2EB73B2B" w14:textId="77777777" w:rsidR="00E81FA6" w:rsidRDefault="00E81FA6"/>
    <w:sectPr w:rsidR="00E81F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30C560A-8468-D84A-AEC6-3C23EABB512D}"/>
  </w:font>
  <w:font w:name="Arial">
    <w:panose1 w:val="020B0604020202020204"/>
    <w:charset w:val="00"/>
    <w:family w:val="swiss"/>
    <w:pitch w:val="variable"/>
    <w:sig w:usb0="E0002EFF" w:usb1="C000785B" w:usb2="00000009" w:usb3="00000000" w:csb0="000001FF" w:csb1="00000000"/>
    <w:embedRegular r:id="rId2" w:fontKey="{9066BD35-D5ED-A447-AFF1-CA339ADFBDDC}"/>
    <w:embedBold r:id="rId3" w:fontKey="{FBE3DDF2-774C-8447-BE08-33CC40769ACC}"/>
    <w:embedItalic r:id="rId4" w:fontKey="{FCAB8352-83BD-0949-ABAC-E04F006603B5}"/>
    <w:embedBoldItalic r:id="rId5" w:fontKey="{EF682F13-AEC6-F34A-8014-034C51D3F7F9}"/>
  </w:font>
  <w:font w:name="Calibri">
    <w:panose1 w:val="020F0502020204030204"/>
    <w:charset w:val="00"/>
    <w:family w:val="swiss"/>
    <w:pitch w:val="variable"/>
    <w:sig w:usb0="E4002EFF" w:usb1="C200247B" w:usb2="00000009" w:usb3="00000000" w:csb0="000001FF" w:csb1="00000000"/>
    <w:embedRegular r:id="rId6" w:fontKey="{7D5E96E6-CDDC-ED48-B2EA-1005E00D44EF}"/>
  </w:font>
  <w:font w:name="Cambria">
    <w:panose1 w:val="02040503050406030204"/>
    <w:charset w:val="00"/>
    <w:family w:val="roman"/>
    <w:pitch w:val="variable"/>
    <w:sig w:usb0="E00006FF" w:usb1="420024FF" w:usb2="02000000" w:usb3="00000000" w:csb0="0000019F" w:csb1="00000000"/>
    <w:embedRegular r:id="rId7" w:fontKey="{136C1BC4-9DFC-1C43-B55C-0E55445C29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785E"/>
    <w:multiLevelType w:val="multilevel"/>
    <w:tmpl w:val="E046A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E03AE"/>
    <w:multiLevelType w:val="multilevel"/>
    <w:tmpl w:val="CC707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860991"/>
    <w:multiLevelType w:val="hybridMultilevel"/>
    <w:tmpl w:val="4E740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F54085"/>
    <w:multiLevelType w:val="multilevel"/>
    <w:tmpl w:val="E7C4E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1D271F"/>
    <w:multiLevelType w:val="multilevel"/>
    <w:tmpl w:val="00340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6E2854"/>
    <w:multiLevelType w:val="multilevel"/>
    <w:tmpl w:val="94DA1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D80394"/>
    <w:multiLevelType w:val="multilevel"/>
    <w:tmpl w:val="CF64A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BD5328"/>
    <w:multiLevelType w:val="multilevel"/>
    <w:tmpl w:val="F4782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A75B8E"/>
    <w:multiLevelType w:val="multilevel"/>
    <w:tmpl w:val="47AC1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7D088D"/>
    <w:multiLevelType w:val="multilevel"/>
    <w:tmpl w:val="8CF64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E908D2"/>
    <w:multiLevelType w:val="multilevel"/>
    <w:tmpl w:val="18E8F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8691037">
    <w:abstractNumId w:val="6"/>
  </w:num>
  <w:num w:numId="2" w16cid:durableId="955331045">
    <w:abstractNumId w:val="5"/>
  </w:num>
  <w:num w:numId="3" w16cid:durableId="277687232">
    <w:abstractNumId w:val="10"/>
  </w:num>
  <w:num w:numId="4" w16cid:durableId="1759860624">
    <w:abstractNumId w:val="4"/>
  </w:num>
  <w:num w:numId="5" w16cid:durableId="215971863">
    <w:abstractNumId w:val="7"/>
  </w:num>
  <w:num w:numId="6" w16cid:durableId="995114759">
    <w:abstractNumId w:val="9"/>
  </w:num>
  <w:num w:numId="7" w16cid:durableId="1160459949">
    <w:abstractNumId w:val="3"/>
  </w:num>
  <w:num w:numId="8" w16cid:durableId="507061348">
    <w:abstractNumId w:val="8"/>
  </w:num>
  <w:num w:numId="9" w16cid:durableId="2110932671">
    <w:abstractNumId w:val="0"/>
  </w:num>
  <w:num w:numId="10" w16cid:durableId="291904202">
    <w:abstractNumId w:val="1"/>
  </w:num>
  <w:num w:numId="11" w16cid:durableId="75174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FA6"/>
    <w:rsid w:val="00140989"/>
    <w:rsid w:val="00582E61"/>
    <w:rsid w:val="00A87629"/>
    <w:rsid w:val="00E81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3198F"/>
  <w15:docId w15:val="{5166E222-6AA4-1A4F-827D-F809A96B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82E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r.realtor/magazine/broker-news/why-every-brokerage-needs-an-ai-use-policy" TargetMode="External"/><Relationship Id="rId3" Type="http://schemas.openxmlformats.org/officeDocument/2006/relationships/settings" Target="settings.xml"/><Relationship Id="rId7" Type="http://schemas.openxmlformats.org/officeDocument/2006/relationships/hyperlink" Target="https://www.scstatehouse.gov/code/t40c057.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cstatehouse.gov/code/t40c057.php"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2248</Words>
  <Characters>12814</Characters>
  <Application>Microsoft Office Word</Application>
  <DocSecurity>0</DocSecurity>
  <Lines>106</Lines>
  <Paragraphs>30</Paragraphs>
  <ScaleCrop>false</ScaleCrop>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Kremydas</cp:lastModifiedBy>
  <cp:revision>2</cp:revision>
  <dcterms:created xsi:type="dcterms:W3CDTF">2026-04-29T15:13:00Z</dcterms:created>
  <dcterms:modified xsi:type="dcterms:W3CDTF">2026-04-29T15:15:00Z</dcterms:modified>
</cp:coreProperties>
</file>